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67"/>
        <w:gridCol w:w="5804"/>
      </w:tblGrid>
      <w:tr w:rsidR="0015145C" w14:paraId="37A82032" w14:textId="77777777" w:rsidTr="000C2C1C">
        <w:tc>
          <w:tcPr>
            <w:tcW w:w="1555" w:type="dxa"/>
          </w:tcPr>
          <w:p w14:paraId="5AB6B6F5" w14:textId="5213612E" w:rsidR="0015145C" w:rsidRPr="00172D95" w:rsidRDefault="00033A2F" w:rsidP="00D60689">
            <w:pPr>
              <w:rPr>
                <w:b/>
                <w:bCs/>
              </w:rPr>
            </w:pPr>
            <w:bookmarkStart w:id="0" w:name="_Hlk86922317"/>
            <w:r w:rsidRPr="00172D95">
              <w:rPr>
                <w:b/>
                <w:bCs/>
              </w:rPr>
              <w:t>Datum</w:t>
            </w:r>
          </w:p>
        </w:tc>
        <w:tc>
          <w:tcPr>
            <w:tcW w:w="567" w:type="dxa"/>
          </w:tcPr>
          <w:p w14:paraId="2E95BF7A" w14:textId="41C0FB6A" w:rsidR="0015145C" w:rsidRDefault="006326C9" w:rsidP="00D60689">
            <w:r>
              <w:t>:</w:t>
            </w:r>
          </w:p>
        </w:tc>
        <w:tc>
          <w:tcPr>
            <w:tcW w:w="5804" w:type="dxa"/>
          </w:tcPr>
          <w:p w14:paraId="41DF896E" w14:textId="44E33074" w:rsidR="0015145C" w:rsidRDefault="00254D60" w:rsidP="00D60689">
            <w:r>
              <w:t>9 maart 2022</w:t>
            </w:r>
          </w:p>
        </w:tc>
      </w:tr>
      <w:tr w:rsidR="0015145C" w14:paraId="08B73DA2" w14:textId="77777777" w:rsidTr="000C2C1C">
        <w:tc>
          <w:tcPr>
            <w:tcW w:w="1555" w:type="dxa"/>
          </w:tcPr>
          <w:p w14:paraId="47E7F2D5" w14:textId="6F0F5668" w:rsidR="0015145C" w:rsidRPr="00172D95" w:rsidRDefault="00033A2F" w:rsidP="00D60689">
            <w:pPr>
              <w:rPr>
                <w:b/>
                <w:bCs/>
              </w:rPr>
            </w:pPr>
            <w:r w:rsidRPr="00172D95">
              <w:rPr>
                <w:b/>
                <w:bCs/>
              </w:rPr>
              <w:t>Tijd</w:t>
            </w:r>
          </w:p>
        </w:tc>
        <w:tc>
          <w:tcPr>
            <w:tcW w:w="567" w:type="dxa"/>
          </w:tcPr>
          <w:p w14:paraId="285BB8F6" w14:textId="2379DA1E" w:rsidR="0015145C" w:rsidRDefault="006326C9" w:rsidP="00D60689">
            <w:r>
              <w:t>:</w:t>
            </w:r>
          </w:p>
        </w:tc>
        <w:tc>
          <w:tcPr>
            <w:tcW w:w="5804" w:type="dxa"/>
          </w:tcPr>
          <w:p w14:paraId="61D37834" w14:textId="718FA33D" w:rsidR="0015145C" w:rsidRDefault="00254D60" w:rsidP="00D60689">
            <w:r>
              <w:t>13:00 – 14:30 uur</w:t>
            </w:r>
          </w:p>
        </w:tc>
      </w:tr>
      <w:tr w:rsidR="0015145C" w:rsidRPr="00254D60" w14:paraId="43C918AA" w14:textId="77777777" w:rsidTr="000C2C1C">
        <w:tc>
          <w:tcPr>
            <w:tcW w:w="1555" w:type="dxa"/>
          </w:tcPr>
          <w:p w14:paraId="78C4220D" w14:textId="782B031C" w:rsidR="0015145C" w:rsidRPr="00172D95" w:rsidRDefault="00033A2F" w:rsidP="00D60689">
            <w:pPr>
              <w:rPr>
                <w:b/>
                <w:bCs/>
              </w:rPr>
            </w:pPr>
            <w:r w:rsidRPr="00172D95">
              <w:rPr>
                <w:b/>
                <w:bCs/>
              </w:rPr>
              <w:t>Locatie</w:t>
            </w:r>
          </w:p>
        </w:tc>
        <w:tc>
          <w:tcPr>
            <w:tcW w:w="567" w:type="dxa"/>
          </w:tcPr>
          <w:p w14:paraId="175B4164" w14:textId="14B164C0" w:rsidR="0015145C" w:rsidRDefault="006326C9" w:rsidP="00D60689">
            <w:r>
              <w:t>:</w:t>
            </w:r>
          </w:p>
        </w:tc>
        <w:tc>
          <w:tcPr>
            <w:tcW w:w="5804" w:type="dxa"/>
          </w:tcPr>
          <w:p w14:paraId="22E845C3" w14:textId="00208B4E" w:rsidR="0015145C" w:rsidRPr="00254D60" w:rsidRDefault="00254D60" w:rsidP="00D60689">
            <w:r w:rsidRPr="00254D60">
              <w:t>Via MS teams (link in verg</w:t>
            </w:r>
            <w:r>
              <w:t xml:space="preserve">aderverzoek) </w:t>
            </w:r>
          </w:p>
        </w:tc>
      </w:tr>
      <w:tr w:rsidR="0015145C" w:rsidRPr="00254D60" w14:paraId="3349C683" w14:textId="77777777" w:rsidTr="000C2C1C">
        <w:tc>
          <w:tcPr>
            <w:tcW w:w="1555" w:type="dxa"/>
          </w:tcPr>
          <w:p w14:paraId="14C40EE6" w14:textId="1B63DE47" w:rsidR="0015145C" w:rsidRPr="00254D60" w:rsidRDefault="0015145C" w:rsidP="00D60689"/>
        </w:tc>
        <w:tc>
          <w:tcPr>
            <w:tcW w:w="567" w:type="dxa"/>
          </w:tcPr>
          <w:p w14:paraId="407C3890" w14:textId="77777777" w:rsidR="0015145C" w:rsidRPr="00254D60" w:rsidRDefault="0015145C" w:rsidP="00D60689"/>
        </w:tc>
        <w:tc>
          <w:tcPr>
            <w:tcW w:w="5804" w:type="dxa"/>
          </w:tcPr>
          <w:p w14:paraId="7892D030" w14:textId="77777777" w:rsidR="0015145C" w:rsidRPr="00254D60" w:rsidRDefault="0015145C" w:rsidP="00D60689"/>
        </w:tc>
      </w:tr>
    </w:tbl>
    <w:p w14:paraId="09671D1A" w14:textId="46B705DC" w:rsidR="00FE5DD1" w:rsidRDefault="00FE5DD1" w:rsidP="00D60689">
      <w:pPr>
        <w:pBdr>
          <w:bottom w:val="single" w:sz="4" w:space="1" w:color="auto"/>
        </w:pBdr>
      </w:pPr>
      <w:r>
        <w:t xml:space="preserve">Strakke tijdsplanning, voor Hans: zie </w:t>
      </w:r>
      <w:r w:rsidR="00DE3DD4" w:rsidRPr="00B06DE0">
        <w:rPr>
          <w:highlight w:val="yellow"/>
        </w:rPr>
        <w:t>tijdsplanning in geel rechts.</w:t>
      </w:r>
      <w:r w:rsidR="00DE3DD4">
        <w:t xml:space="preserve"> </w:t>
      </w:r>
      <w:r w:rsidR="00B06DE0">
        <w:t xml:space="preserve">Graag ruimte voor Cultuurhistorie en e-depot </w:t>
      </w:r>
      <w:r w:rsidR="00BF1F5A">
        <w:t xml:space="preserve">houden. </w:t>
      </w:r>
    </w:p>
    <w:p w14:paraId="701471A1" w14:textId="1F408626" w:rsidR="00FE5DD1" w:rsidRDefault="00BA08B3" w:rsidP="00D60689">
      <w:pPr>
        <w:pBdr>
          <w:bottom w:val="single" w:sz="4" w:space="1" w:color="auto"/>
        </w:pBdr>
      </w:pPr>
      <w:r>
        <w:t xml:space="preserve">Ria maakt verslag. </w:t>
      </w:r>
    </w:p>
    <w:p w14:paraId="2E77845A" w14:textId="77777777" w:rsidR="00FE5DD1" w:rsidRDefault="00BA08B3" w:rsidP="00D60689">
      <w:pPr>
        <w:pBdr>
          <w:bottom w:val="single" w:sz="4" w:space="1" w:color="auto"/>
        </w:pBdr>
      </w:pPr>
      <w:r>
        <w:t xml:space="preserve">Wietse is aanwezig om toelichting te geven op </w:t>
      </w:r>
      <w:r w:rsidR="00FE5DD1">
        <w:t xml:space="preserve">5 Privacy Programma en 7 e-depot. </w:t>
      </w:r>
    </w:p>
    <w:p w14:paraId="278D73D1" w14:textId="29F8ECA9" w:rsidR="00D60689" w:rsidRDefault="00FE5DD1" w:rsidP="00D60689">
      <w:pPr>
        <w:pBdr>
          <w:bottom w:val="single" w:sz="4" w:space="1" w:color="auto"/>
        </w:pBdr>
      </w:pPr>
      <w:r>
        <w:t>Elleke sluit</w:t>
      </w:r>
      <w:r w:rsidR="00AF658F">
        <w:t xml:space="preserve"> om 14:00 uur</w:t>
      </w:r>
      <w:r>
        <w:t xml:space="preserve"> in de vergadering aan om toelichting te geven op punt 6 Cultuurhistorisch Programma. NB. Met Elleke is beoordelingsgesprek gevoerd en zij krijgt vanaf 1 mei een vaste aanstelling. </w:t>
      </w:r>
    </w:p>
    <w:p w14:paraId="0210DF24" w14:textId="010D80FF" w:rsidR="006777A6" w:rsidRDefault="006777A6" w:rsidP="00D60689">
      <w:pPr>
        <w:pBdr>
          <w:bottom w:val="single" w:sz="4" w:space="1" w:color="auto"/>
        </w:pBdr>
      </w:pPr>
      <w:r>
        <w:t>Irmgard Broos is ziek en niet aanwezig. Mocht zij zich goed voelen, dan komt ze toch een in de vergadering.</w:t>
      </w:r>
    </w:p>
    <w:p w14:paraId="3E411550" w14:textId="3AA8220E" w:rsidR="00DE3DD4" w:rsidRPr="00894212" w:rsidRDefault="00DE3DD4" w:rsidP="00D60689">
      <w:pPr>
        <w:pBdr>
          <w:bottom w:val="single" w:sz="4" w:space="1" w:color="auto"/>
        </w:pBdr>
      </w:pPr>
      <w:r>
        <w:t xml:space="preserve">Inleidingen voor </w:t>
      </w:r>
      <w:r w:rsidRPr="00DE3DD4">
        <w:rPr>
          <w:highlight w:val="yellow"/>
        </w:rPr>
        <w:t>Hans zijn geel</w:t>
      </w:r>
      <w:r>
        <w:t xml:space="preserve"> gemarkeerd. Inleidingen door </w:t>
      </w:r>
      <w:r w:rsidRPr="00DE3DD4">
        <w:rPr>
          <w:highlight w:val="lightGray"/>
        </w:rPr>
        <w:t>Erika zijn grijs</w:t>
      </w:r>
      <w:r>
        <w:t xml:space="preserve"> gemarkeerd. </w:t>
      </w:r>
    </w:p>
    <w:tbl>
      <w:tblPr>
        <w:tblStyle w:val="TableGrid"/>
        <w:tblpPr w:leftFromText="141" w:rightFromText="141" w:vertAnchor="text" w:horzAnchor="margin" w:tblpXSpec="center" w:tblpY="471"/>
        <w:tblW w:w="1020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67"/>
        <w:gridCol w:w="7988"/>
        <w:gridCol w:w="1651"/>
      </w:tblGrid>
      <w:tr w:rsidR="00BA08B3" w14:paraId="4AAA79D2" w14:textId="77777777" w:rsidTr="00C02D76">
        <w:tc>
          <w:tcPr>
            <w:tcW w:w="567" w:type="dxa"/>
          </w:tcPr>
          <w:p w14:paraId="7D136725" w14:textId="77777777" w:rsidR="00BA08B3" w:rsidRDefault="00BA08B3" w:rsidP="00BA08B3">
            <w:r>
              <w:t>1.</w:t>
            </w:r>
          </w:p>
        </w:tc>
        <w:tc>
          <w:tcPr>
            <w:tcW w:w="7988" w:type="dxa"/>
          </w:tcPr>
          <w:p w14:paraId="6C68EC14" w14:textId="77777777" w:rsidR="00BA08B3" w:rsidRPr="00FE5DD1" w:rsidRDefault="00BA08B3" w:rsidP="00BA08B3">
            <w:pPr>
              <w:rPr>
                <w:b/>
                <w:bCs/>
              </w:rPr>
            </w:pPr>
            <w:r w:rsidRPr="00FE5DD1">
              <w:rPr>
                <w:b/>
                <w:bCs/>
              </w:rPr>
              <w:t>Opening en mededelingen/ingekomen stukken</w:t>
            </w:r>
          </w:p>
          <w:p w14:paraId="10359C00" w14:textId="77777777" w:rsidR="00BA08B3" w:rsidRDefault="00BA08B3" w:rsidP="00BA08B3">
            <w:pPr>
              <w:pStyle w:val="ListParagraph"/>
              <w:numPr>
                <w:ilvl w:val="0"/>
                <w:numId w:val="25"/>
              </w:numPr>
            </w:pPr>
            <w:r>
              <w:t>Verzoek gemeenten Veenendaal dienstverlening RAZU</w:t>
            </w:r>
          </w:p>
        </w:tc>
        <w:tc>
          <w:tcPr>
            <w:tcW w:w="1651" w:type="dxa"/>
          </w:tcPr>
          <w:p w14:paraId="73AE72A8" w14:textId="309921C0" w:rsidR="00BA08B3" w:rsidRDefault="00DE3DD4" w:rsidP="00BA08B3">
            <w:r w:rsidRPr="00DE3DD4">
              <w:rPr>
                <w:highlight w:val="yellow"/>
              </w:rPr>
              <w:t>13:00-13:15 uur</w:t>
            </w:r>
          </w:p>
          <w:p w14:paraId="06717BE3" w14:textId="77777777" w:rsidR="00BA08B3" w:rsidRDefault="00BA08B3" w:rsidP="00BA08B3"/>
        </w:tc>
      </w:tr>
      <w:tr w:rsidR="00BA08B3" w14:paraId="19D15171" w14:textId="77777777" w:rsidTr="00C02D76">
        <w:tc>
          <w:tcPr>
            <w:tcW w:w="567" w:type="dxa"/>
          </w:tcPr>
          <w:p w14:paraId="09105CA3" w14:textId="77777777" w:rsidR="00BA08B3" w:rsidRDefault="00BA08B3" w:rsidP="00BA08B3"/>
        </w:tc>
        <w:tc>
          <w:tcPr>
            <w:tcW w:w="7988" w:type="dxa"/>
          </w:tcPr>
          <w:p w14:paraId="2220914B" w14:textId="0BD0DAE0" w:rsidR="00DE3DD4" w:rsidRDefault="00DE3DD4" w:rsidP="00BA08B3">
            <w:pPr>
              <w:rPr>
                <w:highlight w:val="yellow"/>
              </w:rPr>
            </w:pPr>
            <w:r>
              <w:rPr>
                <w:highlight w:val="yellow"/>
              </w:rPr>
              <w:t>Veenendaal heeft verzoek gedaan of RAZU archiefwerkzaamheden kan doen. Zie noti</w:t>
            </w:r>
            <w:r w:rsidR="00B06DE0">
              <w:rPr>
                <w:highlight w:val="yellow"/>
              </w:rPr>
              <w:t>tie in bijlage 1</w:t>
            </w:r>
            <w:r>
              <w:rPr>
                <w:highlight w:val="yellow"/>
              </w:rPr>
              <w:t xml:space="preserve">.  </w:t>
            </w:r>
          </w:p>
          <w:p w14:paraId="62968E63" w14:textId="77777777" w:rsidR="009C6547" w:rsidRDefault="00F007F8" w:rsidP="00BA08B3">
            <w:pPr>
              <w:rPr>
                <w:highlight w:val="lightGray"/>
              </w:rPr>
            </w:pPr>
            <w:r w:rsidRPr="00734917">
              <w:rPr>
                <w:highlight w:val="lightGray"/>
              </w:rPr>
              <w:t>Veenendaal heeft gevraagd om ondersteuning door RAZU op een beperkt deel van de archieftaken en voor een kort</w:t>
            </w:r>
            <w:r w:rsidR="00207847" w:rsidRPr="00734917">
              <w:rPr>
                <w:highlight w:val="lightGray"/>
              </w:rPr>
              <w:t>e  periode. Vanuit collegiale ondersteuning en hoop op nauwere samenwerking met Veenendaal zou RAZU dit kunnen  doen. Maar RAZU heeft eigenlijk geen capaciteit beschikbaar</w:t>
            </w:r>
            <w:r w:rsidR="00734917">
              <w:rPr>
                <w:highlight w:val="lightGray"/>
              </w:rPr>
              <w:t>, zou daarvoor moeten gaan inhuren</w:t>
            </w:r>
            <w:r w:rsidR="00207847" w:rsidRPr="00734917">
              <w:rPr>
                <w:highlight w:val="lightGray"/>
              </w:rPr>
              <w:t xml:space="preserve">. </w:t>
            </w:r>
          </w:p>
          <w:p w14:paraId="53BE898B" w14:textId="24300E05" w:rsidR="00BA08B3" w:rsidRDefault="00BA08B3" w:rsidP="00BA08B3">
            <w:r w:rsidRPr="00734917">
              <w:rPr>
                <w:highlight w:val="lightGray"/>
              </w:rPr>
              <w:t xml:space="preserve">In de kern is de vraag aan het bestuur of </w:t>
            </w:r>
            <w:r w:rsidR="00FA1D1D" w:rsidRPr="00734917">
              <w:rPr>
                <w:highlight w:val="lightGray"/>
              </w:rPr>
              <w:t>het RAZU regulier werk en grote klussen</w:t>
            </w:r>
            <w:r w:rsidRPr="00734917">
              <w:rPr>
                <w:highlight w:val="lightGray"/>
              </w:rPr>
              <w:t xml:space="preserve"> uitstellen om prioriteit te geven aan werkzaamheden in Veenendaal in de hoop dat Veenendaal wil toetreden, of nie</w:t>
            </w:r>
            <w:r w:rsidR="00B06DE0" w:rsidRPr="00734917">
              <w:rPr>
                <w:highlight w:val="lightGray"/>
              </w:rPr>
              <w:t>t</w:t>
            </w:r>
            <w:r w:rsidR="007128DE" w:rsidRPr="00734917">
              <w:rPr>
                <w:highlight w:val="lightGray"/>
              </w:rPr>
              <w:t>.</w:t>
            </w:r>
            <w:r w:rsidR="007128DE">
              <w:t xml:space="preserve"> </w:t>
            </w:r>
          </w:p>
        </w:tc>
        <w:tc>
          <w:tcPr>
            <w:tcW w:w="1651" w:type="dxa"/>
          </w:tcPr>
          <w:p w14:paraId="4FAF7967" w14:textId="77777777" w:rsidR="00BA08B3" w:rsidRDefault="00BA08B3" w:rsidP="00BA08B3">
            <w:r>
              <w:t>Bijlage 1_1</w:t>
            </w:r>
          </w:p>
        </w:tc>
      </w:tr>
      <w:tr w:rsidR="00BA08B3" w14:paraId="1E4C0F0C" w14:textId="77777777" w:rsidTr="00C02D76">
        <w:tc>
          <w:tcPr>
            <w:tcW w:w="567" w:type="dxa"/>
          </w:tcPr>
          <w:p w14:paraId="0E2E1A8B" w14:textId="77777777" w:rsidR="00BA08B3" w:rsidRDefault="00BA08B3" w:rsidP="00BA08B3">
            <w:r>
              <w:t>2.</w:t>
            </w:r>
          </w:p>
        </w:tc>
        <w:tc>
          <w:tcPr>
            <w:tcW w:w="7988" w:type="dxa"/>
          </w:tcPr>
          <w:p w14:paraId="19BD0CB5" w14:textId="77777777" w:rsidR="00BA08B3" w:rsidRPr="0092784D" w:rsidRDefault="00BA08B3" w:rsidP="00BA08B3">
            <w:r w:rsidRPr="0092784D">
              <w:t>Vaststelling Concept-Verslag van de bestuursvergadering van 15 december 2021</w:t>
            </w:r>
          </w:p>
        </w:tc>
        <w:tc>
          <w:tcPr>
            <w:tcW w:w="1651" w:type="dxa"/>
          </w:tcPr>
          <w:p w14:paraId="049D36CD" w14:textId="3DB3618C" w:rsidR="00BA08B3" w:rsidRDefault="009E5B45" w:rsidP="00BA08B3">
            <w:r w:rsidRPr="00135F57">
              <w:rPr>
                <w:highlight w:val="yellow"/>
              </w:rPr>
              <w:t>13:15-13:20</w:t>
            </w:r>
            <w:r>
              <w:t xml:space="preserve"> </w:t>
            </w:r>
          </w:p>
        </w:tc>
      </w:tr>
      <w:tr w:rsidR="00BA08B3" w14:paraId="3702682D" w14:textId="77777777" w:rsidTr="00C02D76">
        <w:tc>
          <w:tcPr>
            <w:tcW w:w="567" w:type="dxa"/>
          </w:tcPr>
          <w:p w14:paraId="66E9F827" w14:textId="77777777" w:rsidR="00BA08B3" w:rsidRDefault="00BA08B3" w:rsidP="00BA08B3"/>
        </w:tc>
        <w:tc>
          <w:tcPr>
            <w:tcW w:w="7988" w:type="dxa"/>
          </w:tcPr>
          <w:p w14:paraId="3A8476FC" w14:textId="77777777" w:rsidR="00BA08B3" w:rsidRPr="009924D4" w:rsidRDefault="00FA1D1D" w:rsidP="00BA08B3">
            <w:pPr>
              <w:rPr>
                <w:highlight w:val="lightGray"/>
              </w:rPr>
            </w:pPr>
            <w:r w:rsidRPr="009924D4">
              <w:rPr>
                <w:highlight w:val="lightGray"/>
              </w:rPr>
              <w:t xml:space="preserve">Ik wil n.a.v. verslag aangeven dat de dienstverlening is aangepast aan de beschikbare capaciteit: sluiting ma-do om </w:t>
            </w:r>
            <w:r w:rsidR="009924D4" w:rsidRPr="009924D4">
              <w:rPr>
                <w:highlight w:val="lightGray"/>
              </w:rPr>
              <w:t xml:space="preserve">16:30 en vrijdag om 13:00 uur. Daarnaast op donderdag front-back office ingevoerd. (= drukste dag en enige dag met dubbele bezetting). </w:t>
            </w:r>
          </w:p>
          <w:p w14:paraId="38E1E43C" w14:textId="67EF736B" w:rsidR="009924D4" w:rsidRPr="0092784D" w:rsidRDefault="009924D4" w:rsidP="00BA08B3">
            <w:r w:rsidRPr="009924D4">
              <w:rPr>
                <w:highlight w:val="lightGray"/>
              </w:rPr>
              <w:t>En studiezaal is anders ingericht.</w:t>
            </w:r>
          </w:p>
        </w:tc>
        <w:tc>
          <w:tcPr>
            <w:tcW w:w="1651" w:type="dxa"/>
          </w:tcPr>
          <w:p w14:paraId="4CFD9322" w14:textId="77777777" w:rsidR="00BA08B3" w:rsidRDefault="00BA08B3" w:rsidP="00BA08B3">
            <w:r>
              <w:t>Bijlage 2_1</w:t>
            </w:r>
          </w:p>
        </w:tc>
      </w:tr>
      <w:tr w:rsidR="00BA08B3" w14:paraId="330A6D49" w14:textId="77777777" w:rsidTr="00C02D76">
        <w:tc>
          <w:tcPr>
            <w:tcW w:w="567" w:type="dxa"/>
          </w:tcPr>
          <w:p w14:paraId="7263649B" w14:textId="77777777" w:rsidR="00BA08B3" w:rsidRDefault="00BA08B3" w:rsidP="00BA08B3">
            <w:r>
              <w:t>3.</w:t>
            </w:r>
          </w:p>
        </w:tc>
        <w:tc>
          <w:tcPr>
            <w:tcW w:w="7988" w:type="dxa"/>
          </w:tcPr>
          <w:p w14:paraId="6A177B7A" w14:textId="77777777" w:rsidR="00BA08B3" w:rsidRPr="00E87500" w:rsidRDefault="00BA08B3" w:rsidP="00BA08B3">
            <w:r w:rsidRPr="0092784D">
              <w:rPr>
                <w:szCs w:val="24"/>
              </w:rPr>
              <w:t xml:space="preserve">Kadernota 2023 en begrotingsuitgangspunten begroting 2023-2026  </w:t>
            </w:r>
          </w:p>
          <w:p w14:paraId="21E8EA30" w14:textId="77777777" w:rsidR="00BA08B3" w:rsidRPr="00E75700" w:rsidRDefault="00BA08B3" w:rsidP="00BA08B3">
            <w:pPr>
              <w:pStyle w:val="ListParagraph"/>
              <w:numPr>
                <w:ilvl w:val="0"/>
                <w:numId w:val="18"/>
              </w:numPr>
            </w:pPr>
            <w:r w:rsidRPr="00107272">
              <w:rPr>
                <w:szCs w:val="24"/>
              </w:rPr>
              <w:t xml:space="preserve">Behandelen zienswijzen en </w:t>
            </w:r>
            <w:r>
              <w:rPr>
                <w:szCs w:val="24"/>
              </w:rPr>
              <w:t>v</w:t>
            </w:r>
            <w:r w:rsidRPr="00107272">
              <w:rPr>
                <w:szCs w:val="24"/>
              </w:rPr>
              <w:t>aststellen Kadernota 2023</w:t>
            </w:r>
          </w:p>
          <w:p w14:paraId="7F6CF85E" w14:textId="77777777" w:rsidR="00BA08B3" w:rsidRPr="008A6755" w:rsidRDefault="00BA08B3" w:rsidP="00BA08B3">
            <w:pPr>
              <w:pStyle w:val="ListParagraph"/>
              <w:numPr>
                <w:ilvl w:val="0"/>
                <w:numId w:val="18"/>
              </w:numPr>
            </w:pPr>
            <w:r w:rsidRPr="00134C9C">
              <w:rPr>
                <w:szCs w:val="24"/>
              </w:rPr>
              <w:t>Bespreken en vaststellen uitgangspunten begroting 2023-2026</w:t>
            </w:r>
          </w:p>
          <w:p w14:paraId="1281328D" w14:textId="77777777" w:rsidR="00BA08B3" w:rsidRDefault="00BA08B3" w:rsidP="00BA08B3">
            <w:pPr>
              <w:pStyle w:val="ListParagraph"/>
              <w:numPr>
                <w:ilvl w:val="0"/>
                <w:numId w:val="18"/>
              </w:numPr>
            </w:pPr>
            <w:r>
              <w:t xml:space="preserve">Bespreken voorstel financieel adviseur Foutherstel bestemmingsreserve Vijfheerenlanden </w:t>
            </w:r>
          </w:p>
        </w:tc>
        <w:tc>
          <w:tcPr>
            <w:tcW w:w="1651" w:type="dxa"/>
          </w:tcPr>
          <w:p w14:paraId="017CFD34" w14:textId="75E00266" w:rsidR="00BA08B3" w:rsidRPr="00731D1C" w:rsidRDefault="00135F57" w:rsidP="00BA08B3">
            <w:r w:rsidRPr="00135F57">
              <w:rPr>
                <w:highlight w:val="yellow"/>
              </w:rPr>
              <w:t>13:20-13:40</w:t>
            </w:r>
          </w:p>
        </w:tc>
      </w:tr>
      <w:tr w:rsidR="00BA08B3" w14:paraId="110478D0" w14:textId="77777777" w:rsidTr="00C02D76">
        <w:tc>
          <w:tcPr>
            <w:tcW w:w="567" w:type="dxa"/>
          </w:tcPr>
          <w:p w14:paraId="320F689B" w14:textId="77777777" w:rsidR="00BA08B3" w:rsidRDefault="00BA08B3" w:rsidP="00BA08B3"/>
        </w:tc>
        <w:tc>
          <w:tcPr>
            <w:tcW w:w="7988" w:type="dxa"/>
          </w:tcPr>
          <w:p w14:paraId="052CA65A" w14:textId="23FB46BC" w:rsidR="00BA08B3" w:rsidRPr="00486E70" w:rsidRDefault="00300FB1" w:rsidP="00BA08B3">
            <w:pPr>
              <w:rPr>
                <w:szCs w:val="24"/>
                <w:highlight w:val="yellow"/>
              </w:rPr>
            </w:pPr>
            <w:r w:rsidRPr="00486E70">
              <w:rPr>
                <w:szCs w:val="24"/>
                <w:highlight w:val="yellow"/>
              </w:rPr>
              <w:t xml:space="preserve">Twee onderwerpen gecombineerd; </w:t>
            </w:r>
            <w:r w:rsidR="00BE6D73">
              <w:rPr>
                <w:szCs w:val="24"/>
                <w:highlight w:val="yellow"/>
              </w:rPr>
              <w:t xml:space="preserve">eerst </w:t>
            </w:r>
            <w:r w:rsidRPr="00486E70">
              <w:rPr>
                <w:szCs w:val="24"/>
                <w:highlight w:val="yellow"/>
              </w:rPr>
              <w:t xml:space="preserve">zienswijzen &amp; Kadernota, daarna </w:t>
            </w:r>
            <w:r w:rsidR="00EC5949" w:rsidRPr="00486E70">
              <w:rPr>
                <w:szCs w:val="24"/>
                <w:highlight w:val="yellow"/>
              </w:rPr>
              <w:t xml:space="preserve">voorstel voor begrotingsuitgangspunten &amp; een Foutherstel waarbij de bestemmingsreserve Vijfheerenlanden wordt omgezet naar een schuld. </w:t>
            </w:r>
            <w:r w:rsidR="00F81296">
              <w:rPr>
                <w:szCs w:val="24"/>
                <w:highlight w:val="yellow"/>
              </w:rPr>
              <w:t xml:space="preserve">Zie </w:t>
            </w:r>
          </w:p>
          <w:p w14:paraId="4A9FDA4A" w14:textId="64F72709" w:rsidR="00C251CC" w:rsidRDefault="00486E70" w:rsidP="00BA08B3">
            <w:pPr>
              <w:rPr>
                <w:szCs w:val="24"/>
              </w:rPr>
            </w:pPr>
            <w:r>
              <w:rPr>
                <w:b/>
                <w:bCs/>
                <w:szCs w:val="24"/>
                <w:highlight w:val="yellow"/>
              </w:rPr>
              <w:t xml:space="preserve">Zienswijzen en Kadernota: </w:t>
            </w:r>
            <w:r w:rsidR="009C7F84">
              <w:rPr>
                <w:b/>
                <w:bCs/>
                <w:szCs w:val="24"/>
                <w:highlight w:val="yellow"/>
              </w:rPr>
              <w:t xml:space="preserve">zie bijlage 3_1 </w:t>
            </w:r>
            <w:proofErr w:type="spellStart"/>
            <w:r w:rsidR="009C7F84">
              <w:rPr>
                <w:b/>
                <w:bCs/>
                <w:szCs w:val="24"/>
                <w:highlight w:val="yellow"/>
              </w:rPr>
              <w:t>zienswijzen</w:t>
            </w:r>
            <w:r w:rsidR="00EC5949" w:rsidRPr="00486E70">
              <w:rPr>
                <w:szCs w:val="24"/>
                <w:highlight w:val="yellow"/>
              </w:rPr>
              <w:t>Er</w:t>
            </w:r>
            <w:proofErr w:type="spellEnd"/>
            <w:r w:rsidR="00EC5949" w:rsidRPr="00486E70">
              <w:rPr>
                <w:szCs w:val="24"/>
                <w:highlight w:val="yellow"/>
              </w:rPr>
              <w:t xml:space="preserve"> zijn 3 zienswijzen binnengekomen: Bunnik en Wijk bij Duurstede over </w:t>
            </w:r>
            <w:r w:rsidR="00135F57" w:rsidRPr="00486E70">
              <w:rPr>
                <w:szCs w:val="24"/>
                <w:highlight w:val="yellow"/>
              </w:rPr>
              <w:t xml:space="preserve">doorrekenen kosten e-depot in kadernota en Vijfheerenlanden over de </w:t>
            </w:r>
            <w:r w:rsidR="00B8279B" w:rsidRPr="00486E70">
              <w:rPr>
                <w:szCs w:val="24"/>
                <w:highlight w:val="yellow"/>
              </w:rPr>
              <w:t xml:space="preserve">uitbreiding formatie voor knelpunt dienstverlening. Er ligt een voorstel voor een bestuurlijke reactie. </w:t>
            </w:r>
            <w:r w:rsidR="00FF0B65" w:rsidRPr="00486E70">
              <w:rPr>
                <w:szCs w:val="24"/>
                <w:highlight w:val="yellow"/>
              </w:rPr>
              <w:t>De notitie bevat de vragen om te bespreken</w:t>
            </w:r>
            <w:r w:rsidR="00222B12">
              <w:rPr>
                <w:szCs w:val="24"/>
                <w:highlight w:val="yellow"/>
              </w:rPr>
              <w:t xml:space="preserve">. De </w:t>
            </w:r>
            <w:r w:rsidR="00994843" w:rsidRPr="00580015">
              <w:rPr>
                <w:szCs w:val="24"/>
                <w:highlight w:val="yellow"/>
              </w:rPr>
              <w:t xml:space="preserve">belangrijkste is of het bestuur aanvullingen </w:t>
            </w:r>
            <w:r w:rsidR="00580015" w:rsidRPr="00580015">
              <w:rPr>
                <w:szCs w:val="24"/>
                <w:highlight w:val="yellow"/>
              </w:rPr>
              <w:t xml:space="preserve">op / wijzigingen zou willen zien in deze bestuurlijke </w:t>
            </w:r>
            <w:r w:rsidR="00580015" w:rsidRPr="00222B12">
              <w:rPr>
                <w:szCs w:val="24"/>
                <w:highlight w:val="yellow"/>
              </w:rPr>
              <w:t xml:space="preserve">reactie? </w:t>
            </w:r>
            <w:r w:rsidR="00222B12" w:rsidRPr="00222B12">
              <w:rPr>
                <w:szCs w:val="24"/>
                <w:highlight w:val="yellow"/>
              </w:rPr>
              <w:t>Of een heel andere reactie?</w:t>
            </w:r>
            <w:r w:rsidR="00222B12">
              <w:rPr>
                <w:szCs w:val="24"/>
              </w:rPr>
              <w:t xml:space="preserve">  </w:t>
            </w:r>
          </w:p>
          <w:p w14:paraId="47CD25AA" w14:textId="77777777" w:rsidR="00C251CC" w:rsidRPr="0023242D" w:rsidRDefault="00222B12" w:rsidP="00D255FD">
            <w:pPr>
              <w:shd w:val="clear" w:color="auto" w:fill="EAEAEA"/>
              <w:rPr>
                <w:i/>
                <w:iCs/>
                <w:szCs w:val="24"/>
              </w:rPr>
            </w:pPr>
            <w:r>
              <w:rPr>
                <w:szCs w:val="24"/>
              </w:rPr>
              <w:t xml:space="preserve">[ </w:t>
            </w:r>
            <w:r w:rsidRPr="0023242D">
              <w:rPr>
                <w:i/>
                <w:iCs/>
                <w:szCs w:val="24"/>
              </w:rPr>
              <w:t xml:space="preserve">voor hans: </w:t>
            </w:r>
            <w:r w:rsidR="00580015" w:rsidRPr="0023242D">
              <w:rPr>
                <w:i/>
                <w:iCs/>
                <w:szCs w:val="24"/>
              </w:rPr>
              <w:t>De</w:t>
            </w:r>
            <w:r w:rsidR="007878E8" w:rsidRPr="0023242D">
              <w:rPr>
                <w:i/>
                <w:iCs/>
                <w:szCs w:val="24"/>
              </w:rPr>
              <w:t xml:space="preserve"> </w:t>
            </w:r>
            <w:proofErr w:type="spellStart"/>
            <w:r w:rsidR="007878E8" w:rsidRPr="0023242D">
              <w:rPr>
                <w:i/>
                <w:iCs/>
                <w:szCs w:val="24"/>
              </w:rPr>
              <w:t>bestuursreactie</w:t>
            </w:r>
            <w:proofErr w:type="spellEnd"/>
            <w:r w:rsidR="007878E8" w:rsidRPr="0023242D">
              <w:rPr>
                <w:i/>
                <w:iCs/>
                <w:szCs w:val="24"/>
              </w:rPr>
              <w:t xml:space="preserve"> </w:t>
            </w:r>
            <w:r w:rsidR="00C251CC" w:rsidRPr="0023242D">
              <w:rPr>
                <w:i/>
                <w:iCs/>
                <w:szCs w:val="24"/>
              </w:rPr>
              <w:t xml:space="preserve">is </w:t>
            </w:r>
            <w:r w:rsidR="007878E8" w:rsidRPr="0023242D">
              <w:rPr>
                <w:i/>
                <w:iCs/>
                <w:szCs w:val="24"/>
              </w:rPr>
              <w:t xml:space="preserve">opgesteld in lijn met de discussies in december. </w:t>
            </w:r>
            <w:r w:rsidR="003B39B7" w:rsidRPr="0023242D">
              <w:rPr>
                <w:i/>
                <w:iCs/>
                <w:szCs w:val="24"/>
              </w:rPr>
              <w:t xml:space="preserve"> </w:t>
            </w:r>
          </w:p>
          <w:p w14:paraId="344A1161" w14:textId="77777777" w:rsidR="00C251CC" w:rsidRPr="0023242D" w:rsidRDefault="00C251CC" w:rsidP="00D255FD">
            <w:pPr>
              <w:pStyle w:val="ListParagraph"/>
              <w:numPr>
                <w:ilvl w:val="0"/>
                <w:numId w:val="26"/>
              </w:numPr>
              <w:shd w:val="clear" w:color="auto" w:fill="EAEAEA"/>
              <w:rPr>
                <w:i/>
                <w:iCs/>
                <w:szCs w:val="24"/>
              </w:rPr>
            </w:pPr>
            <w:r w:rsidRPr="0023242D">
              <w:rPr>
                <w:i/>
                <w:iCs/>
                <w:szCs w:val="24"/>
              </w:rPr>
              <w:t xml:space="preserve">Zienswijze VHL: </w:t>
            </w:r>
            <w:r w:rsidR="00222B12" w:rsidRPr="0023242D">
              <w:rPr>
                <w:i/>
                <w:iCs/>
                <w:szCs w:val="24"/>
              </w:rPr>
              <w:t>Omdat d</w:t>
            </w:r>
            <w:r w:rsidRPr="0023242D">
              <w:rPr>
                <w:i/>
                <w:iCs/>
                <w:szCs w:val="24"/>
              </w:rPr>
              <w:t>ie discussie</w:t>
            </w:r>
            <w:r w:rsidR="00222B12" w:rsidRPr="0023242D">
              <w:rPr>
                <w:i/>
                <w:iCs/>
                <w:szCs w:val="24"/>
              </w:rPr>
              <w:t xml:space="preserve"> pittig was durfde ik de zienwijze vanuit VHL niet voor kennisneming aan te nemen, maar het bestuur </w:t>
            </w:r>
            <w:r w:rsidRPr="0023242D">
              <w:rPr>
                <w:i/>
                <w:iCs/>
                <w:szCs w:val="24"/>
              </w:rPr>
              <w:t xml:space="preserve">de mogelijkheid geven mee te gaan in deze zienswijze en terug te komen op het originele besluit. </w:t>
            </w:r>
          </w:p>
          <w:p w14:paraId="3963023A" w14:textId="13CA75B9" w:rsidR="00FF0B65" w:rsidRPr="00C251CC" w:rsidRDefault="00C251CC" w:rsidP="00D255FD">
            <w:pPr>
              <w:pStyle w:val="ListParagraph"/>
              <w:numPr>
                <w:ilvl w:val="0"/>
                <w:numId w:val="26"/>
              </w:numPr>
              <w:shd w:val="clear" w:color="auto" w:fill="EAEAEA"/>
              <w:rPr>
                <w:szCs w:val="24"/>
              </w:rPr>
            </w:pPr>
            <w:r w:rsidRPr="0023242D">
              <w:rPr>
                <w:i/>
                <w:iCs/>
                <w:szCs w:val="24"/>
              </w:rPr>
              <w:t xml:space="preserve">Mijn angst is dat het doorrekenen van het e-depot in de </w:t>
            </w:r>
            <w:r w:rsidR="0023242D" w:rsidRPr="0023242D">
              <w:rPr>
                <w:i/>
                <w:iCs/>
                <w:szCs w:val="24"/>
              </w:rPr>
              <w:t>begroting 2023 ook een zienswijze gaan opleveren vanuit VHL, omdat daar nu geen aanleiding voor een zienswijze was</w:t>
            </w:r>
            <w:r w:rsidR="0023242D">
              <w:rPr>
                <w:szCs w:val="24"/>
              </w:rPr>
              <w:t xml:space="preserve"> ]</w:t>
            </w:r>
          </w:p>
          <w:p w14:paraId="40E8AD79" w14:textId="6A85092B" w:rsidR="0053043F" w:rsidRDefault="00816A10" w:rsidP="00BA08B3">
            <w:pPr>
              <w:rPr>
                <w:szCs w:val="24"/>
              </w:rPr>
            </w:pPr>
            <w:r w:rsidRPr="00496BCB">
              <w:rPr>
                <w:b/>
                <w:bCs/>
                <w:szCs w:val="24"/>
                <w:highlight w:val="yellow"/>
              </w:rPr>
              <w:t>B</w:t>
            </w:r>
            <w:r w:rsidR="003B2F3B" w:rsidRPr="00496BCB">
              <w:rPr>
                <w:b/>
                <w:bCs/>
                <w:szCs w:val="24"/>
                <w:highlight w:val="yellow"/>
              </w:rPr>
              <w:t>egrotingsuitgan</w:t>
            </w:r>
            <w:r w:rsidRPr="00496BCB">
              <w:rPr>
                <w:b/>
                <w:bCs/>
                <w:szCs w:val="24"/>
                <w:highlight w:val="yellow"/>
              </w:rPr>
              <w:t>gspunten en</w:t>
            </w:r>
            <w:r w:rsidR="00496BCB">
              <w:rPr>
                <w:b/>
                <w:bCs/>
                <w:szCs w:val="24"/>
                <w:highlight w:val="yellow"/>
              </w:rPr>
              <w:t xml:space="preserve"> foutherstel </w:t>
            </w:r>
            <w:r w:rsidR="009C7F84">
              <w:rPr>
                <w:b/>
                <w:bCs/>
                <w:szCs w:val="24"/>
                <w:highlight w:val="yellow"/>
              </w:rPr>
              <w:t>zie bijlage 3_3 en 3_4</w:t>
            </w:r>
            <w:r w:rsidRPr="00496BCB">
              <w:rPr>
                <w:b/>
                <w:bCs/>
                <w:szCs w:val="24"/>
                <w:highlight w:val="yellow"/>
              </w:rPr>
              <w:t>:</w:t>
            </w:r>
            <w:r w:rsidRPr="00496BCB">
              <w:rPr>
                <w:szCs w:val="24"/>
                <w:highlight w:val="yellow"/>
              </w:rPr>
              <w:t xml:space="preserve"> </w:t>
            </w:r>
            <w:r w:rsidR="00236E6C" w:rsidRPr="00496BCB">
              <w:rPr>
                <w:szCs w:val="24"/>
                <w:highlight w:val="yellow"/>
              </w:rPr>
              <w:t>in overleg met ambtenaren van 5 gemeenten (niet Wijk bij Du</w:t>
            </w:r>
            <w:r w:rsidR="001E76FD" w:rsidRPr="00496BCB">
              <w:rPr>
                <w:szCs w:val="24"/>
                <w:highlight w:val="yellow"/>
              </w:rPr>
              <w:t xml:space="preserve">urstede, vanwege personele wisselingen daar) nieuwe uitgangspunten gedefinieerd. </w:t>
            </w:r>
            <w:r w:rsidR="0053043F" w:rsidRPr="00496BCB">
              <w:rPr>
                <w:szCs w:val="24"/>
                <w:highlight w:val="yellow"/>
              </w:rPr>
              <w:t>Zie de notitie voor de vragen en bespreekpunten.</w:t>
            </w:r>
          </w:p>
          <w:p w14:paraId="43A49ED2" w14:textId="68D6B80D" w:rsidR="005F663B" w:rsidRDefault="008E07EA" w:rsidP="00BA08B3">
            <w:pPr>
              <w:rPr>
                <w:szCs w:val="24"/>
                <w:highlight w:val="lightGray"/>
              </w:rPr>
            </w:pPr>
            <w:r>
              <w:rPr>
                <w:b/>
                <w:bCs/>
                <w:szCs w:val="24"/>
                <w:highlight w:val="lightGray"/>
              </w:rPr>
              <w:t>B</w:t>
            </w:r>
            <w:r w:rsidR="00AA5A0C">
              <w:rPr>
                <w:b/>
                <w:bCs/>
                <w:szCs w:val="24"/>
                <w:highlight w:val="lightGray"/>
              </w:rPr>
              <w:t>egrotingsuitgangspunten</w:t>
            </w:r>
            <w:r w:rsidRPr="008E07EA">
              <w:rPr>
                <w:b/>
                <w:bCs/>
                <w:szCs w:val="24"/>
                <w:highlight w:val="lightGray"/>
              </w:rPr>
              <w:t xml:space="preserve">: </w:t>
            </w:r>
            <w:r w:rsidRPr="008E07EA">
              <w:rPr>
                <w:szCs w:val="24"/>
                <w:highlight w:val="lightGray"/>
              </w:rPr>
              <w:t xml:space="preserve"> </w:t>
            </w:r>
            <w:r>
              <w:rPr>
                <w:szCs w:val="24"/>
                <w:highlight w:val="lightGray"/>
              </w:rPr>
              <w:t xml:space="preserve">Overleg vorige bestuursvergadering aangekondigd, omdat het opstellen van de Kadernota veel vragen opriep en heel omslachtig was (vooral de post salariskosten, vanwege </w:t>
            </w:r>
            <w:r w:rsidR="005F663B">
              <w:rPr>
                <w:szCs w:val="24"/>
                <w:highlight w:val="lightGray"/>
              </w:rPr>
              <w:t xml:space="preserve">het feit dat deze niet regulier begroot wordt op basis van </w:t>
            </w:r>
            <w:r w:rsidR="00127851">
              <w:rPr>
                <w:szCs w:val="24"/>
                <w:highlight w:val="lightGray"/>
              </w:rPr>
              <w:t>vastgestelde formatie</w:t>
            </w:r>
            <w:r w:rsidR="00A41CC1">
              <w:rPr>
                <w:szCs w:val="24"/>
                <w:highlight w:val="lightGray"/>
              </w:rPr>
              <w:t xml:space="preserve">, schaal en periodiek. </w:t>
            </w:r>
            <w:r w:rsidR="005F663B">
              <w:rPr>
                <w:szCs w:val="24"/>
                <w:highlight w:val="lightGray"/>
              </w:rPr>
              <w:t xml:space="preserve"> </w:t>
            </w:r>
          </w:p>
          <w:p w14:paraId="310F5D1E" w14:textId="77777777" w:rsidR="00A36A1F" w:rsidRDefault="008E07EA" w:rsidP="00BA08B3">
            <w:pPr>
              <w:rPr>
                <w:szCs w:val="24"/>
                <w:highlight w:val="lightGray"/>
              </w:rPr>
            </w:pPr>
            <w:r w:rsidRPr="008E07EA">
              <w:rPr>
                <w:szCs w:val="24"/>
                <w:highlight w:val="lightGray"/>
              </w:rPr>
              <w:t>Toepassen levert wel een verhoging van de begroting op, omdat (a) de salariskosten dan worden begroot ‘zoals het hoort’ en (b) er regulier geïndexeerd wordt. Daarom voorstel gedaan voor een groeimodel, zodat de verhoging niet ineens heel groot wordt</w:t>
            </w:r>
          </w:p>
          <w:p w14:paraId="3F8CE1ED" w14:textId="7C71B3E5" w:rsidR="00AA5A0C" w:rsidRPr="008E07EA" w:rsidRDefault="008E07EA" w:rsidP="00BA08B3">
            <w:pPr>
              <w:rPr>
                <w:b/>
                <w:bCs/>
                <w:szCs w:val="24"/>
                <w:highlight w:val="lightGray"/>
              </w:rPr>
            </w:pPr>
            <w:r w:rsidRPr="008E07EA">
              <w:rPr>
                <w:szCs w:val="24"/>
                <w:highlight w:val="lightGray"/>
              </w:rPr>
              <w:t xml:space="preserve"> (</w:t>
            </w:r>
            <w:r w:rsidRPr="00DC060D">
              <w:rPr>
                <w:i/>
                <w:iCs/>
                <w:szCs w:val="24"/>
                <w:highlight w:val="lightGray"/>
              </w:rPr>
              <w:t>voor Hans: ik heb hier vooral VHL voor ogen</w:t>
            </w:r>
            <w:r w:rsidRPr="008E07EA">
              <w:rPr>
                <w:szCs w:val="24"/>
                <w:highlight w:val="lightGray"/>
              </w:rPr>
              <w:t>).</w:t>
            </w:r>
          </w:p>
          <w:p w14:paraId="3ED85407" w14:textId="77777777" w:rsidR="003B2F3B" w:rsidRDefault="009211D4" w:rsidP="00BA08B3">
            <w:pPr>
              <w:rPr>
                <w:szCs w:val="24"/>
              </w:rPr>
            </w:pPr>
            <w:r>
              <w:rPr>
                <w:b/>
                <w:bCs/>
                <w:szCs w:val="24"/>
                <w:highlight w:val="lightGray"/>
              </w:rPr>
              <w:t>F</w:t>
            </w:r>
            <w:r w:rsidR="0053043F" w:rsidRPr="00AA5A0C">
              <w:rPr>
                <w:b/>
                <w:bCs/>
                <w:szCs w:val="24"/>
                <w:highlight w:val="lightGray"/>
              </w:rPr>
              <w:t>outherstel</w:t>
            </w:r>
            <w:r w:rsidR="0053043F" w:rsidRPr="00AA5A0C">
              <w:rPr>
                <w:szCs w:val="24"/>
                <w:highlight w:val="lightGray"/>
              </w:rPr>
              <w:t xml:space="preserve"> : dit is heel financieel technisch, maar het resultaat is dat de RAZU </w:t>
            </w:r>
            <w:r w:rsidR="00E70BBA" w:rsidRPr="00AA5A0C">
              <w:rPr>
                <w:szCs w:val="24"/>
                <w:highlight w:val="lightGray"/>
              </w:rPr>
              <w:t xml:space="preserve">niet </w:t>
            </w:r>
            <w:r w:rsidR="00496BCB" w:rsidRPr="00AA5A0C">
              <w:rPr>
                <w:szCs w:val="24"/>
                <w:highlight w:val="lightGray"/>
              </w:rPr>
              <w:t xml:space="preserve">een </w:t>
            </w:r>
            <w:r w:rsidR="00E70BBA" w:rsidRPr="00AA5A0C">
              <w:rPr>
                <w:szCs w:val="24"/>
                <w:highlight w:val="lightGray"/>
              </w:rPr>
              <w:t>enorme reserve heef</w:t>
            </w:r>
            <w:r w:rsidR="00AA5A0C" w:rsidRPr="00AA5A0C">
              <w:rPr>
                <w:szCs w:val="24"/>
                <w:highlight w:val="lightGray"/>
              </w:rPr>
              <w:t>t maar een verplichting om werk te doen</w:t>
            </w:r>
            <w:r w:rsidR="00AA5A0C">
              <w:rPr>
                <w:szCs w:val="24"/>
              </w:rPr>
              <w:t xml:space="preserve">. </w:t>
            </w:r>
          </w:p>
          <w:p w14:paraId="142CD48C" w14:textId="7642196D" w:rsidR="00A36A1F" w:rsidRPr="00A36A1F" w:rsidRDefault="00A36A1F" w:rsidP="00BA08B3">
            <w:pPr>
              <w:rPr>
                <w:i/>
                <w:iCs/>
                <w:szCs w:val="24"/>
              </w:rPr>
            </w:pPr>
            <w:r w:rsidRPr="00965995">
              <w:rPr>
                <w:i/>
                <w:iCs/>
                <w:szCs w:val="24"/>
                <w:highlight w:val="lightGray"/>
              </w:rPr>
              <w:t>[ voor Hans: ik hoop dat bestuur akkoord gaat met beide, want Foutherstel is al opgenomen in jaarrekening en begrotingsuitgangspunten zijn al verwerkt in begroting 2023…]</w:t>
            </w:r>
            <w:r>
              <w:rPr>
                <w:i/>
                <w:iCs/>
                <w:szCs w:val="24"/>
              </w:rPr>
              <w:t xml:space="preserve"> </w:t>
            </w:r>
          </w:p>
        </w:tc>
        <w:tc>
          <w:tcPr>
            <w:tcW w:w="1651" w:type="dxa"/>
          </w:tcPr>
          <w:p w14:paraId="16E2AC9B" w14:textId="77777777" w:rsidR="00BA08B3" w:rsidRPr="00731D1C" w:rsidRDefault="00BA08B3" w:rsidP="00BA08B3">
            <w:r w:rsidRPr="00731D1C">
              <w:t xml:space="preserve">Bijlage 3_1 t/m </w:t>
            </w:r>
            <w:r>
              <w:t>3_</w:t>
            </w:r>
            <w:r w:rsidRPr="00731D1C">
              <w:t>4</w:t>
            </w:r>
          </w:p>
        </w:tc>
      </w:tr>
      <w:tr w:rsidR="00BA08B3" w14:paraId="34085405" w14:textId="77777777" w:rsidTr="00C02D76">
        <w:tc>
          <w:tcPr>
            <w:tcW w:w="567" w:type="dxa"/>
          </w:tcPr>
          <w:p w14:paraId="739B6BC2" w14:textId="77777777" w:rsidR="00BA08B3" w:rsidRDefault="00BA08B3" w:rsidP="00BA08B3">
            <w:r>
              <w:t>4.</w:t>
            </w:r>
          </w:p>
        </w:tc>
        <w:tc>
          <w:tcPr>
            <w:tcW w:w="7988" w:type="dxa"/>
          </w:tcPr>
          <w:p w14:paraId="2C81EFC5" w14:textId="77777777" w:rsidR="00BA08B3" w:rsidRDefault="00BA08B3" w:rsidP="00BA08B3">
            <w:r>
              <w:t>Archiefbewaarplaats</w:t>
            </w:r>
          </w:p>
          <w:p w14:paraId="0FD82539" w14:textId="77777777" w:rsidR="00BA08B3" w:rsidRDefault="00BA08B3" w:rsidP="00BA08B3">
            <w:pPr>
              <w:pStyle w:val="ListParagraph"/>
              <w:numPr>
                <w:ilvl w:val="0"/>
                <w:numId w:val="19"/>
              </w:numPr>
            </w:pPr>
            <w:r>
              <w:t xml:space="preserve">Toelichting op Verslag inspectie archiefbewaarplaats en verbeterplan (door Erika Hokke) </w:t>
            </w:r>
          </w:p>
          <w:p w14:paraId="7218A836" w14:textId="77777777" w:rsidR="00BA08B3" w:rsidRDefault="00BA08B3" w:rsidP="00BA08B3">
            <w:pPr>
              <w:pStyle w:val="ListParagraph"/>
              <w:numPr>
                <w:ilvl w:val="0"/>
                <w:numId w:val="19"/>
              </w:numPr>
            </w:pPr>
            <w:r>
              <w:t>Ter kennisname Collectiehulpverleningsplan 2022</w:t>
            </w:r>
          </w:p>
        </w:tc>
        <w:tc>
          <w:tcPr>
            <w:tcW w:w="1651" w:type="dxa"/>
          </w:tcPr>
          <w:p w14:paraId="36FA1BC6" w14:textId="511AAD41" w:rsidR="00BA08B3" w:rsidRDefault="00FF4D4C" w:rsidP="00BA08B3">
            <w:r w:rsidRPr="00DE50F7">
              <w:rPr>
                <w:highlight w:val="yellow"/>
              </w:rPr>
              <w:t>13:</w:t>
            </w:r>
            <w:r w:rsidR="00DE50F7" w:rsidRPr="00DE50F7">
              <w:rPr>
                <w:highlight w:val="yellow"/>
              </w:rPr>
              <w:t>40-13:50</w:t>
            </w:r>
          </w:p>
        </w:tc>
      </w:tr>
      <w:tr w:rsidR="00BA08B3" w14:paraId="26145CD8" w14:textId="77777777" w:rsidTr="00C02D76">
        <w:tc>
          <w:tcPr>
            <w:tcW w:w="567" w:type="dxa"/>
          </w:tcPr>
          <w:p w14:paraId="3E8C1C88" w14:textId="77777777" w:rsidR="00BA08B3" w:rsidRDefault="00BA08B3" w:rsidP="00BA08B3"/>
        </w:tc>
        <w:tc>
          <w:tcPr>
            <w:tcW w:w="7988" w:type="dxa"/>
          </w:tcPr>
          <w:p w14:paraId="750707F2" w14:textId="77777777" w:rsidR="00195DF7" w:rsidRDefault="00FF4D4C" w:rsidP="00BA08B3">
            <w:pPr>
              <w:rPr>
                <w:highlight w:val="yellow"/>
              </w:rPr>
            </w:pPr>
            <w:r w:rsidRPr="009E2C07">
              <w:rPr>
                <w:highlight w:val="yellow"/>
              </w:rPr>
              <w:t xml:space="preserve">Een notitie met een flink aantal bijlagen. De stukken zijn ter </w:t>
            </w:r>
            <w:r w:rsidR="00DE50F7" w:rsidRPr="009E2C07">
              <w:rPr>
                <w:highlight w:val="yellow"/>
              </w:rPr>
              <w:t xml:space="preserve">informatie, er </w:t>
            </w:r>
            <w:r w:rsidR="000B2430" w:rsidRPr="009E2C07">
              <w:rPr>
                <w:highlight w:val="yellow"/>
              </w:rPr>
              <w:t xml:space="preserve">hoeft geen besluit genomen te worden. </w:t>
            </w:r>
            <w:r w:rsidR="008D3715">
              <w:rPr>
                <w:highlight w:val="yellow"/>
              </w:rPr>
              <w:t>Een</w:t>
            </w:r>
            <w:r w:rsidR="00D742FC">
              <w:rPr>
                <w:highlight w:val="yellow"/>
              </w:rPr>
              <w:t xml:space="preserve"> </w:t>
            </w:r>
            <w:r w:rsidR="008D3715">
              <w:rPr>
                <w:highlight w:val="yellow"/>
              </w:rPr>
              <w:t xml:space="preserve">korte </w:t>
            </w:r>
            <w:r w:rsidR="00D742FC">
              <w:rPr>
                <w:highlight w:val="yellow"/>
              </w:rPr>
              <w:t xml:space="preserve">reactie vanuit het bestuur op </w:t>
            </w:r>
            <w:r w:rsidR="00D843F8">
              <w:rPr>
                <w:highlight w:val="yellow"/>
              </w:rPr>
              <w:t xml:space="preserve">het inspectierapport, de maatregelen en </w:t>
            </w:r>
            <w:r w:rsidR="008D3715">
              <w:rPr>
                <w:highlight w:val="yellow"/>
              </w:rPr>
              <w:t>de financiële implicaties is wel welkom.</w:t>
            </w:r>
          </w:p>
          <w:p w14:paraId="026DDF9B" w14:textId="181A7F82" w:rsidR="00AE19E8" w:rsidRDefault="008D3715" w:rsidP="00BA08B3">
            <w:pPr>
              <w:rPr>
                <w:highlight w:val="yellow"/>
              </w:rPr>
            </w:pPr>
            <w:r>
              <w:rPr>
                <w:highlight w:val="yellow"/>
              </w:rPr>
              <w:t xml:space="preserve"> </w:t>
            </w:r>
            <w:r w:rsidR="00195DF7">
              <w:rPr>
                <w:highlight w:val="yellow"/>
              </w:rPr>
              <w:t>Financiële</w:t>
            </w:r>
            <w:r w:rsidR="00965995">
              <w:rPr>
                <w:highlight w:val="yellow"/>
              </w:rPr>
              <w:t xml:space="preserve"> implicatie volgt uit de noodzaak het depot anders in te richten</w:t>
            </w:r>
            <w:r w:rsidR="00ED229E">
              <w:rPr>
                <w:highlight w:val="yellow"/>
              </w:rPr>
              <w:t xml:space="preserve"> </w:t>
            </w:r>
            <w:r w:rsidR="005D2B53">
              <w:rPr>
                <w:highlight w:val="yellow"/>
              </w:rPr>
              <w:t>(incidenteel: verhuiskosten + structureel: opslagruimte huren)</w:t>
            </w:r>
          </w:p>
          <w:p w14:paraId="202F69A5" w14:textId="4E999E1E" w:rsidR="005D2B53" w:rsidRDefault="00812D0A" w:rsidP="00BA08B3">
            <w:r w:rsidRPr="008D3715">
              <w:rPr>
                <w:highlight w:val="lightGray"/>
              </w:rPr>
              <w:t xml:space="preserve">Grootste issue: bij </w:t>
            </w:r>
            <w:r w:rsidR="000B2430" w:rsidRPr="008D3715">
              <w:rPr>
                <w:highlight w:val="lightGray"/>
              </w:rPr>
              <w:t>de bouw van de depots zijn de kasten dichter bij elkaar geplaatst</w:t>
            </w:r>
            <w:r w:rsidRPr="008D3715">
              <w:rPr>
                <w:highlight w:val="lightGray"/>
              </w:rPr>
              <w:t xml:space="preserve"> dan gepland. </w:t>
            </w:r>
            <w:r w:rsidR="00AE19E8" w:rsidRPr="008D3715">
              <w:rPr>
                <w:highlight w:val="lightGray"/>
              </w:rPr>
              <w:t>En het depot staat heel vol en er staan materialen in die daar niet in</w:t>
            </w:r>
            <w:r w:rsidR="0025265A">
              <w:rPr>
                <w:highlight w:val="lightGray"/>
              </w:rPr>
              <w:t xml:space="preserve"> </w:t>
            </w:r>
            <w:r w:rsidR="00AE19E8" w:rsidRPr="008D3715">
              <w:rPr>
                <w:highlight w:val="lightGray"/>
              </w:rPr>
              <w:t>horen.</w:t>
            </w:r>
            <w:r w:rsidR="002E3807" w:rsidRPr="008D3715">
              <w:rPr>
                <w:highlight w:val="lightGray"/>
              </w:rPr>
              <w:t xml:space="preserve"> Dat levert risico’s (schimmels), maar ook de arbeidsomstandigheden </w:t>
            </w:r>
            <w:r w:rsidR="007B572B">
              <w:rPr>
                <w:highlight w:val="lightGray"/>
              </w:rPr>
              <w:t xml:space="preserve">zijn niet ideaal </w:t>
            </w:r>
            <w:r w:rsidR="002E3807" w:rsidRPr="008D3715">
              <w:rPr>
                <w:highlight w:val="lightGray"/>
              </w:rPr>
              <w:t>(volle dozen dicht op elkaar op hoogste planken)</w:t>
            </w:r>
            <w:r w:rsidR="003D6EC7" w:rsidRPr="008D3715">
              <w:rPr>
                <w:highlight w:val="lightGray"/>
              </w:rPr>
              <w:t>.</w:t>
            </w:r>
            <w:r w:rsidR="00AE19E8" w:rsidRPr="008D3715">
              <w:rPr>
                <w:highlight w:val="lightGray"/>
              </w:rPr>
              <w:t xml:space="preserve"> Diverse maatregelen genomen, deels in gang gezet. Er is collectiehulpver</w:t>
            </w:r>
            <w:r w:rsidR="003D6EC7" w:rsidRPr="008D3715">
              <w:rPr>
                <w:highlight w:val="lightGray"/>
              </w:rPr>
              <w:t>leningsplan vastgesteld (ter informatie bijgevoegd).</w:t>
            </w:r>
            <w:r w:rsidR="00FB08EC">
              <w:rPr>
                <w:highlight w:val="lightGray"/>
              </w:rPr>
              <w:t xml:space="preserve"> De</w:t>
            </w:r>
            <w:r w:rsidR="003D6EC7" w:rsidRPr="008D3715">
              <w:rPr>
                <w:highlight w:val="lightGray"/>
              </w:rPr>
              <w:t xml:space="preserve"> </w:t>
            </w:r>
            <w:r w:rsidR="00F44D0B" w:rsidRPr="008D3715">
              <w:rPr>
                <w:highlight w:val="lightGray"/>
              </w:rPr>
              <w:t>grootste maatregel is de depots opnieuw indelen. Dat kost tijd, dus daarvoor mensen inhuren. En extra kast</w:t>
            </w:r>
            <w:r w:rsidR="00F54277">
              <w:rPr>
                <w:highlight w:val="lightGray"/>
              </w:rPr>
              <w:t>en</w:t>
            </w:r>
            <w:r w:rsidR="00F44D0B" w:rsidRPr="008D3715">
              <w:rPr>
                <w:highlight w:val="lightGray"/>
              </w:rPr>
              <w:t xml:space="preserve"> plaatsen. Kosten geraamd op </w:t>
            </w:r>
            <w:r w:rsidR="00D742FC" w:rsidRPr="008D3715">
              <w:rPr>
                <w:highlight w:val="lightGray"/>
              </w:rPr>
              <w:t>max 15.000. Voorstel in april om dit uit reserve Restauratie te betalen.</w:t>
            </w:r>
            <w:r w:rsidR="00D742FC">
              <w:t xml:space="preserve"> </w:t>
            </w:r>
            <w:r w:rsidR="005D2B53" w:rsidRPr="001246CC">
              <w:rPr>
                <w:highlight w:val="lightGray"/>
              </w:rPr>
              <w:t>Er is inmiddels ook extra opslagruimte gehuurd voor 1 jaar</w:t>
            </w:r>
            <w:r w:rsidR="001246CC" w:rsidRPr="001246CC">
              <w:rPr>
                <w:highlight w:val="lightGray"/>
              </w:rPr>
              <w:t>.</w:t>
            </w:r>
            <w:r w:rsidR="001246CC">
              <w:t xml:space="preserve"> </w:t>
            </w:r>
          </w:p>
        </w:tc>
        <w:tc>
          <w:tcPr>
            <w:tcW w:w="1651" w:type="dxa"/>
          </w:tcPr>
          <w:p w14:paraId="55F4A96B" w14:textId="77777777" w:rsidR="00BA08B3" w:rsidRDefault="00BA08B3" w:rsidP="00BA08B3">
            <w:r>
              <w:t>Bijlage 4_1 t/m 4_5</w:t>
            </w:r>
          </w:p>
        </w:tc>
      </w:tr>
      <w:tr w:rsidR="00BA08B3" w14:paraId="5EC81FB4" w14:textId="77777777" w:rsidTr="00C02D76">
        <w:tc>
          <w:tcPr>
            <w:tcW w:w="567" w:type="dxa"/>
          </w:tcPr>
          <w:p w14:paraId="256C1E01" w14:textId="77777777" w:rsidR="00BA08B3" w:rsidRDefault="00BA08B3" w:rsidP="00BA08B3">
            <w:r>
              <w:t>5.</w:t>
            </w:r>
          </w:p>
        </w:tc>
        <w:tc>
          <w:tcPr>
            <w:tcW w:w="7988" w:type="dxa"/>
          </w:tcPr>
          <w:p w14:paraId="3FC7E4C7" w14:textId="77777777" w:rsidR="00BA08B3" w:rsidRDefault="00BA08B3" w:rsidP="00BA08B3">
            <w:r>
              <w:t>Privacy programma</w:t>
            </w:r>
          </w:p>
          <w:p w14:paraId="72A08D04" w14:textId="77777777" w:rsidR="00BA08B3" w:rsidRDefault="00BA08B3" w:rsidP="00BA08B3">
            <w:pPr>
              <w:pStyle w:val="ListParagraph"/>
              <w:numPr>
                <w:ilvl w:val="0"/>
                <w:numId w:val="20"/>
              </w:numPr>
            </w:pPr>
            <w:r>
              <w:t>Toelichting op voortgang privacy programma (door Wietse Bakker)</w:t>
            </w:r>
          </w:p>
          <w:p w14:paraId="144ED3C8" w14:textId="77777777" w:rsidR="00BA08B3" w:rsidRDefault="00BA08B3" w:rsidP="00BA08B3">
            <w:pPr>
              <w:pStyle w:val="ListParagraph"/>
              <w:numPr>
                <w:ilvl w:val="0"/>
                <w:numId w:val="20"/>
              </w:numPr>
            </w:pPr>
            <w:r>
              <w:t xml:space="preserve">Bespreken mandaatregister </w:t>
            </w:r>
          </w:p>
          <w:p w14:paraId="2F1F66EA" w14:textId="77777777" w:rsidR="00BA08B3" w:rsidRDefault="00BA08B3" w:rsidP="00BA08B3">
            <w:pPr>
              <w:pStyle w:val="ListParagraph"/>
              <w:numPr>
                <w:ilvl w:val="0"/>
                <w:numId w:val="20"/>
              </w:numPr>
            </w:pPr>
            <w:r>
              <w:t>Ter kennisname overige stukken privacy programma (verwerkingsregister, procedure datalekken, beleid inzage persoonsgegevens) en voortgang privacy programma)</w:t>
            </w:r>
          </w:p>
        </w:tc>
        <w:tc>
          <w:tcPr>
            <w:tcW w:w="1651" w:type="dxa"/>
          </w:tcPr>
          <w:p w14:paraId="62BBEEE1" w14:textId="1138A82D" w:rsidR="00BA08B3" w:rsidRDefault="00C02D76" w:rsidP="00BA08B3">
            <w:r w:rsidRPr="00C02D76">
              <w:rPr>
                <w:highlight w:val="yellow"/>
              </w:rPr>
              <w:t>13:50-14:10</w:t>
            </w:r>
          </w:p>
        </w:tc>
      </w:tr>
      <w:tr w:rsidR="00BA08B3" w14:paraId="6F7DEF57" w14:textId="77777777" w:rsidTr="00C02D76">
        <w:tc>
          <w:tcPr>
            <w:tcW w:w="567" w:type="dxa"/>
          </w:tcPr>
          <w:p w14:paraId="3E7520CC" w14:textId="77777777" w:rsidR="00BA08B3" w:rsidRDefault="00BA08B3" w:rsidP="00BA08B3"/>
        </w:tc>
        <w:tc>
          <w:tcPr>
            <w:tcW w:w="7988" w:type="dxa"/>
          </w:tcPr>
          <w:p w14:paraId="797CEC30" w14:textId="77777777" w:rsidR="0058418B" w:rsidRDefault="00B322E2" w:rsidP="00BA08B3">
            <w:pPr>
              <w:rPr>
                <w:highlight w:val="yellow"/>
              </w:rPr>
            </w:pPr>
            <w:r w:rsidRPr="0034490D">
              <w:rPr>
                <w:highlight w:val="yellow"/>
              </w:rPr>
              <w:t xml:space="preserve">Privacy programma een jaar geleden gestart. </w:t>
            </w:r>
            <w:r w:rsidR="007370D0" w:rsidRPr="0034490D">
              <w:rPr>
                <w:highlight w:val="yellow"/>
              </w:rPr>
              <w:t xml:space="preserve">In december aangekondigd dat RAZU vandaag voortgang zou presenteren. Dat staat in notitie ‘toelichting’. </w:t>
            </w:r>
            <w:r w:rsidR="0058418B">
              <w:rPr>
                <w:highlight w:val="yellow"/>
              </w:rPr>
              <w:t xml:space="preserve">Voortgang is goed,  </w:t>
            </w:r>
            <w:proofErr w:type="spellStart"/>
            <w:r w:rsidR="0058418B">
              <w:rPr>
                <w:highlight w:val="yellow"/>
              </w:rPr>
              <w:t>verooppt</w:t>
            </w:r>
            <w:proofErr w:type="spellEnd"/>
            <w:r w:rsidR="0058418B">
              <w:rPr>
                <w:highlight w:val="yellow"/>
              </w:rPr>
              <w:t xml:space="preserve"> volgens planning. </w:t>
            </w:r>
            <w:r w:rsidR="007370D0" w:rsidRPr="0034490D">
              <w:rPr>
                <w:highlight w:val="yellow"/>
              </w:rPr>
              <w:t>Wietse kan dit kort nog toelichten</w:t>
            </w:r>
            <w:r w:rsidR="0034490D">
              <w:rPr>
                <w:highlight w:val="yellow"/>
              </w:rPr>
              <w:t xml:space="preserve"> indien gewenst</w:t>
            </w:r>
            <w:r w:rsidR="007370D0" w:rsidRPr="0034490D">
              <w:rPr>
                <w:highlight w:val="yellow"/>
              </w:rPr>
              <w:t xml:space="preserve">. </w:t>
            </w:r>
          </w:p>
          <w:p w14:paraId="6FD42B45" w14:textId="0827C9FF" w:rsidR="00981834" w:rsidRDefault="00981834" w:rsidP="00BA08B3">
            <w:pPr>
              <w:rPr>
                <w:highlight w:val="yellow"/>
              </w:rPr>
            </w:pPr>
            <w:r>
              <w:rPr>
                <w:highlight w:val="yellow"/>
              </w:rPr>
              <w:t xml:space="preserve">Meeste notities zijn ter kennisname, alleen het mandaatregister is ter bespreking. </w:t>
            </w:r>
          </w:p>
          <w:p w14:paraId="2499F101" w14:textId="5F385225" w:rsidR="00262B9E" w:rsidRPr="0034490D" w:rsidRDefault="00972859" w:rsidP="00BA08B3">
            <w:pPr>
              <w:rPr>
                <w:highlight w:val="yellow"/>
              </w:rPr>
            </w:pPr>
            <w:r w:rsidRPr="0034490D">
              <w:rPr>
                <w:highlight w:val="yellow"/>
              </w:rPr>
              <w:t>De bespreekpunten</w:t>
            </w:r>
            <w:r w:rsidR="00ED6576" w:rsidRPr="0034490D">
              <w:rPr>
                <w:highlight w:val="yellow"/>
              </w:rPr>
              <w:t>:</w:t>
            </w:r>
            <w:r w:rsidRPr="0034490D">
              <w:rPr>
                <w:highlight w:val="yellow"/>
              </w:rPr>
              <w:t xml:space="preserve"> </w:t>
            </w:r>
          </w:p>
          <w:p w14:paraId="1988924E" w14:textId="77777777" w:rsidR="00262B9E" w:rsidRPr="0034490D" w:rsidRDefault="005115DC" w:rsidP="00262B9E">
            <w:pPr>
              <w:pStyle w:val="ListParagraph"/>
              <w:numPr>
                <w:ilvl w:val="0"/>
                <w:numId w:val="27"/>
              </w:numPr>
              <w:rPr>
                <w:highlight w:val="yellow"/>
              </w:rPr>
            </w:pPr>
            <w:r w:rsidRPr="0034490D">
              <w:rPr>
                <w:highlight w:val="yellow"/>
              </w:rPr>
              <w:t xml:space="preserve">wil het bestuur taken mandateren aan de directeur en zijn dit dan de zaken om te mandateren. </w:t>
            </w:r>
          </w:p>
          <w:p w14:paraId="7BBA74F5" w14:textId="3B726CAD" w:rsidR="00BA08B3" w:rsidRPr="0034490D" w:rsidRDefault="005115DC" w:rsidP="00262B9E">
            <w:pPr>
              <w:pStyle w:val="ListParagraph"/>
              <w:numPr>
                <w:ilvl w:val="0"/>
                <w:numId w:val="27"/>
              </w:numPr>
              <w:rPr>
                <w:highlight w:val="yellow"/>
              </w:rPr>
            </w:pPr>
            <w:r w:rsidRPr="0034490D">
              <w:rPr>
                <w:highlight w:val="yellow"/>
              </w:rPr>
              <w:t>‘</w:t>
            </w:r>
            <w:r w:rsidR="008B66E6" w:rsidRPr="0034490D">
              <w:rPr>
                <w:highlight w:val="yellow"/>
              </w:rPr>
              <w:t>mandateringen HR taken’</w:t>
            </w:r>
            <w:r w:rsidR="0069710B" w:rsidRPr="0034490D">
              <w:rPr>
                <w:highlight w:val="yellow"/>
              </w:rPr>
              <w:t xml:space="preserve"> zie ma</w:t>
            </w:r>
            <w:r w:rsidR="00147359" w:rsidRPr="0034490D">
              <w:rPr>
                <w:highlight w:val="yellow"/>
              </w:rPr>
              <w:t>n</w:t>
            </w:r>
            <w:r w:rsidR="0069710B" w:rsidRPr="0034490D">
              <w:rPr>
                <w:highlight w:val="yellow"/>
              </w:rPr>
              <w:t xml:space="preserve">daat </w:t>
            </w:r>
            <w:r w:rsidR="00D82A63" w:rsidRPr="0034490D">
              <w:rPr>
                <w:highlight w:val="yellow"/>
              </w:rPr>
              <w:t xml:space="preserve">P1, P2 en P3. </w:t>
            </w:r>
            <w:r w:rsidR="0036149F" w:rsidRPr="0034490D">
              <w:rPr>
                <w:highlight w:val="yellow"/>
              </w:rPr>
              <w:t xml:space="preserve">Is in lijn met GR: ‘personeel wordt op bindende voordracht van het bestuur RAZU aangesteld etc. door college Houten’. </w:t>
            </w:r>
            <w:r w:rsidR="0034490D" w:rsidRPr="0034490D">
              <w:rPr>
                <w:highlight w:val="yellow"/>
              </w:rPr>
              <w:t xml:space="preserve">Voorgesteld wordt deze taak te mandateren aan directeur. </w:t>
            </w:r>
          </w:p>
          <w:p w14:paraId="3B8A684B" w14:textId="77777777" w:rsidR="0036149F" w:rsidRDefault="000B1D7F" w:rsidP="0036149F">
            <w:r w:rsidRPr="00B847AA">
              <w:rPr>
                <w:highlight w:val="yellow"/>
              </w:rPr>
              <w:t>Planning : mandaatregister nu bespreken en (eventueel met wijzigingen) dan in april definitief vaststellen.</w:t>
            </w:r>
            <w:r>
              <w:t xml:space="preserve"> </w:t>
            </w:r>
          </w:p>
          <w:p w14:paraId="1EE0031F" w14:textId="77777777" w:rsidR="004B08F2" w:rsidRDefault="008B7185" w:rsidP="0036149F">
            <w:r w:rsidRPr="00D00D52">
              <w:rPr>
                <w:highlight w:val="lightGray"/>
              </w:rPr>
              <w:t xml:space="preserve">Met de vaststelling van de documentatie is het onderdeel beleid </w:t>
            </w:r>
            <w:r w:rsidR="0062528E" w:rsidRPr="00D00D52">
              <w:rPr>
                <w:highlight w:val="lightGray"/>
              </w:rPr>
              <w:t xml:space="preserve">afgerond. Wat volgt is een stuk bewustwording onder medewerkers, bezoekers en </w:t>
            </w:r>
            <w:r w:rsidR="003C5051" w:rsidRPr="00D00D52">
              <w:rPr>
                <w:highlight w:val="lightGray"/>
              </w:rPr>
              <w:t xml:space="preserve">partners, </w:t>
            </w:r>
            <w:r w:rsidR="0062528E" w:rsidRPr="00D00D52">
              <w:rPr>
                <w:highlight w:val="lightGray"/>
              </w:rPr>
              <w:t>en borging van werkwijzen</w:t>
            </w:r>
            <w:r w:rsidR="00AC489A" w:rsidRPr="00D00D52">
              <w:rPr>
                <w:highlight w:val="lightGray"/>
              </w:rPr>
              <w:t xml:space="preserve">. </w:t>
            </w:r>
            <w:r w:rsidR="000147C4" w:rsidRPr="00D00D52">
              <w:rPr>
                <w:highlight w:val="lightGray"/>
              </w:rPr>
              <w:t>Het onderdeel corrigeren is vergevorderd en zal naar verwachting</w:t>
            </w:r>
            <w:r w:rsidR="00FB7850" w:rsidRPr="00D00D52">
              <w:rPr>
                <w:highlight w:val="lightGray"/>
              </w:rPr>
              <w:t xml:space="preserve"> ook op afzienbare tijd afgerond zijn, waarbij we ook deels afhankelijk zijn van bestuurlijke besluitvorming bij onze gemeenten.</w:t>
            </w:r>
          </w:p>
          <w:p w14:paraId="2E77F4DF" w14:textId="46A93EA5" w:rsidR="00FB7850" w:rsidRDefault="005418FE" w:rsidP="0036149F">
            <w:r w:rsidRPr="00D00D52">
              <w:rPr>
                <w:highlight w:val="lightGray"/>
              </w:rPr>
              <w:t>Daarmee is de grote inhaalslag</w:t>
            </w:r>
            <w:r w:rsidR="001669D0" w:rsidRPr="00D00D52">
              <w:rPr>
                <w:highlight w:val="lightGray"/>
              </w:rPr>
              <w:t xml:space="preserve"> op basis van de rapporten van eind 2020 afgerond</w:t>
            </w:r>
            <w:r w:rsidR="00A3450E" w:rsidRPr="00D00D52">
              <w:rPr>
                <w:highlight w:val="lightGray"/>
              </w:rPr>
              <w:t xml:space="preserve"> en komen we in de fase waarin we continu moeten gaan verbetere</w:t>
            </w:r>
            <w:r w:rsidR="00E63FB1" w:rsidRPr="00D00D52">
              <w:rPr>
                <w:highlight w:val="lightGray"/>
              </w:rPr>
              <w:t xml:space="preserve">n, altijd moeten kijken of we </w:t>
            </w:r>
            <w:r w:rsidR="008E7154" w:rsidRPr="00D00D52">
              <w:rPr>
                <w:highlight w:val="lightGray"/>
              </w:rPr>
              <w:t>nog risico’s lopen, of we zaken goed doen en wat we nog beter kunnen doen. Di jaar</w:t>
            </w:r>
            <w:r w:rsidR="00B854E2" w:rsidRPr="00D00D52">
              <w:rPr>
                <w:highlight w:val="lightGray"/>
              </w:rPr>
              <w:t xml:space="preserve"> gaan we op een aantal onderdelen extra risico analyses uitvoeren en beginnen we met </w:t>
            </w:r>
            <w:r w:rsidR="00D00D52" w:rsidRPr="00D00D52">
              <w:rPr>
                <w:highlight w:val="lightGray"/>
              </w:rPr>
              <w:t xml:space="preserve">data </w:t>
            </w:r>
            <w:proofErr w:type="spellStart"/>
            <w:r w:rsidR="00D00D52" w:rsidRPr="00D00D52">
              <w:rPr>
                <w:highlight w:val="lightGray"/>
              </w:rPr>
              <w:t>protection</w:t>
            </w:r>
            <w:proofErr w:type="spellEnd"/>
            <w:r w:rsidR="00D00D52" w:rsidRPr="00D00D52">
              <w:rPr>
                <w:highlight w:val="lightGray"/>
              </w:rPr>
              <w:t xml:space="preserve"> impacts (de pre-variant)</w:t>
            </w:r>
          </w:p>
        </w:tc>
        <w:tc>
          <w:tcPr>
            <w:tcW w:w="1651" w:type="dxa"/>
          </w:tcPr>
          <w:p w14:paraId="4AF9E2C8" w14:textId="77777777" w:rsidR="00BA08B3" w:rsidRDefault="00BA08B3" w:rsidP="00BA08B3">
            <w:r>
              <w:t>Bijlage 5_1 t/m 5_5</w:t>
            </w:r>
          </w:p>
        </w:tc>
      </w:tr>
      <w:tr w:rsidR="00BA08B3" w14:paraId="4B1D1906" w14:textId="77777777" w:rsidTr="00C02D76">
        <w:tc>
          <w:tcPr>
            <w:tcW w:w="567" w:type="dxa"/>
          </w:tcPr>
          <w:p w14:paraId="4D53D0E5" w14:textId="77777777" w:rsidR="00BA08B3" w:rsidRDefault="00BA08B3" w:rsidP="00BA08B3">
            <w:r>
              <w:t>6.</w:t>
            </w:r>
          </w:p>
        </w:tc>
        <w:tc>
          <w:tcPr>
            <w:tcW w:w="7988" w:type="dxa"/>
          </w:tcPr>
          <w:p w14:paraId="2381B770" w14:textId="77777777" w:rsidR="00BA08B3" w:rsidRDefault="00BA08B3" w:rsidP="00BA08B3">
            <w:r>
              <w:t xml:space="preserve">Cultuurhistorische projecten 2022 (2% budget) </w:t>
            </w:r>
          </w:p>
          <w:p w14:paraId="4266F9C9" w14:textId="1E583A76" w:rsidR="00327265" w:rsidRDefault="00BA08B3" w:rsidP="00327265">
            <w:pPr>
              <w:pStyle w:val="ListParagraph"/>
              <w:numPr>
                <w:ilvl w:val="0"/>
                <w:numId w:val="24"/>
              </w:numPr>
            </w:pPr>
            <w:r>
              <w:t>Toelichting op de Cultuurhistorische projecten in 2022 (door Elleke de Ronde</w:t>
            </w:r>
          </w:p>
        </w:tc>
        <w:tc>
          <w:tcPr>
            <w:tcW w:w="1651" w:type="dxa"/>
          </w:tcPr>
          <w:p w14:paraId="03897368" w14:textId="4C6C474D" w:rsidR="00BA08B3" w:rsidRDefault="00C02D76" w:rsidP="00BA08B3">
            <w:r w:rsidRPr="00C02D76">
              <w:rPr>
                <w:highlight w:val="yellow"/>
              </w:rPr>
              <w:t>14:10-14:20</w:t>
            </w:r>
          </w:p>
        </w:tc>
      </w:tr>
      <w:tr w:rsidR="00BA08B3" w14:paraId="055B90C2" w14:textId="77777777" w:rsidTr="00C02D76">
        <w:tc>
          <w:tcPr>
            <w:tcW w:w="567" w:type="dxa"/>
          </w:tcPr>
          <w:p w14:paraId="3655D685" w14:textId="77777777" w:rsidR="00BA08B3" w:rsidRDefault="00BA08B3" w:rsidP="00BA08B3"/>
        </w:tc>
        <w:tc>
          <w:tcPr>
            <w:tcW w:w="7988" w:type="dxa"/>
          </w:tcPr>
          <w:p w14:paraId="04A6CF3F" w14:textId="487884B2" w:rsidR="00BA08B3" w:rsidRPr="00AE0A13" w:rsidRDefault="00F63057" w:rsidP="00BA08B3">
            <w:pPr>
              <w:rPr>
                <w:highlight w:val="yellow"/>
              </w:rPr>
            </w:pPr>
            <w:r w:rsidRPr="00AE0A13">
              <w:rPr>
                <w:highlight w:val="yellow"/>
              </w:rPr>
              <w:t>Elleke krijgt met ingang van 1 mei een vaste aanstelling.</w:t>
            </w:r>
            <w:r w:rsidR="00A70C02">
              <w:rPr>
                <w:highlight w:val="yellow"/>
              </w:rPr>
              <w:t xml:space="preserve"> </w:t>
            </w:r>
          </w:p>
          <w:p w14:paraId="37005BCE" w14:textId="43E0C878" w:rsidR="00AE0A13" w:rsidRDefault="00F63057" w:rsidP="00BA08B3">
            <w:r w:rsidRPr="00AE0A13">
              <w:rPr>
                <w:highlight w:val="yellow"/>
              </w:rPr>
              <w:t>Elleke heeft programma voor 2022 gemaakt, met een flink aantal activiteiten. Zal zij zelf kort toelichten</w:t>
            </w:r>
            <w:r w:rsidRPr="00527341">
              <w:rPr>
                <w:highlight w:val="lightGray"/>
              </w:rPr>
              <w:t xml:space="preserve">. </w:t>
            </w:r>
            <w:r w:rsidR="00527341" w:rsidRPr="00B46567">
              <w:rPr>
                <w:highlight w:val="yellow"/>
              </w:rPr>
              <w:t>Zou jij aan het eind kunnen vragen wat de kosten zijn? Dan kan ik die toelichten.</w:t>
            </w:r>
            <w:r w:rsidR="00527341">
              <w:t xml:space="preserve"> </w:t>
            </w:r>
          </w:p>
          <w:p w14:paraId="2A9302A6" w14:textId="77777777" w:rsidR="00F63057" w:rsidRDefault="00AE0A13" w:rsidP="00BA08B3">
            <w:r w:rsidRPr="00AE0A13">
              <w:rPr>
                <w:highlight w:val="lightGray"/>
              </w:rPr>
              <w:t xml:space="preserve">Er </w:t>
            </w:r>
            <w:r w:rsidRPr="00A21BCF">
              <w:rPr>
                <w:highlight w:val="lightGray"/>
              </w:rPr>
              <w:t xml:space="preserve">zijn drie hoofdthema’s: 1122 Dam bij Wijk, 1672 Rampjaar en 1794-1795 soldatenhospitalen. Daarnaast inzetten op educatie via ‘geschiedenislokaal’ en </w:t>
            </w:r>
            <w:r w:rsidR="00A70C02" w:rsidRPr="00A21BCF">
              <w:rPr>
                <w:highlight w:val="lightGray"/>
              </w:rPr>
              <w:t xml:space="preserve">het zichtbaar maken van de collectie en de </w:t>
            </w:r>
            <w:r w:rsidR="00C1273E" w:rsidRPr="00A21BCF">
              <w:rPr>
                <w:highlight w:val="lightGray"/>
              </w:rPr>
              <w:t>historie via onze eigen website. Daarnaast nog kleinere activiteiten, deels op verzoek. Deels eigen initiatief.</w:t>
            </w:r>
            <w:r w:rsidR="00C1273E">
              <w:t xml:space="preserve"> </w:t>
            </w:r>
          </w:p>
          <w:p w14:paraId="22DC2381" w14:textId="77777777" w:rsidR="00CC506D" w:rsidRPr="00B46567" w:rsidRDefault="00C1273E" w:rsidP="00BA08B3">
            <w:pPr>
              <w:rPr>
                <w:highlight w:val="lightGray"/>
              </w:rPr>
            </w:pPr>
            <w:r w:rsidRPr="00B46567">
              <w:rPr>
                <w:highlight w:val="lightGray"/>
              </w:rPr>
              <w:t xml:space="preserve">Kosten voor dit programma het hele jaar zijn 31.500, worden onttrokken aan de bestemmingsreserve (2% winstopslag). </w:t>
            </w:r>
            <w:r w:rsidR="005B7F11" w:rsidRPr="00B46567">
              <w:rPr>
                <w:highlight w:val="lightGray"/>
              </w:rPr>
              <w:t xml:space="preserve">Die winstopslag mag niet terug naar gemeenten en niet besteed aan archieftaken, wel aan deze </w:t>
            </w:r>
            <w:r w:rsidR="00A21BCF" w:rsidRPr="00B46567">
              <w:rPr>
                <w:highlight w:val="lightGray"/>
              </w:rPr>
              <w:t>cultuurhistorische</w:t>
            </w:r>
            <w:r w:rsidR="005B7F11" w:rsidRPr="00B46567">
              <w:rPr>
                <w:highlight w:val="lightGray"/>
              </w:rPr>
              <w:t xml:space="preserve"> activiteiten. </w:t>
            </w:r>
            <w:r w:rsidR="00527341" w:rsidRPr="00B46567">
              <w:rPr>
                <w:highlight w:val="lightGray"/>
              </w:rPr>
              <w:t>Bestemmingreserve kan dit goed aan, zat op 1 januari ruim 50.000 in en wordt in 2022 met 18</w:t>
            </w:r>
            <w:r w:rsidR="00CC506D" w:rsidRPr="00B46567">
              <w:rPr>
                <w:highlight w:val="lightGray"/>
              </w:rPr>
              <w:t xml:space="preserve">k gevuld. </w:t>
            </w:r>
          </w:p>
          <w:p w14:paraId="16136FE8" w14:textId="57486147" w:rsidR="00C1273E" w:rsidRDefault="005B7F11" w:rsidP="00BA08B3">
            <w:r w:rsidRPr="00B46567">
              <w:rPr>
                <w:highlight w:val="lightGray"/>
              </w:rPr>
              <w:t xml:space="preserve">De </w:t>
            </w:r>
            <w:r w:rsidR="00A21BCF" w:rsidRPr="00B46567">
              <w:rPr>
                <w:highlight w:val="lightGray"/>
              </w:rPr>
              <w:t xml:space="preserve">activiteiten rondom 1122, </w:t>
            </w:r>
            <w:proofErr w:type="spellStart"/>
            <w:r w:rsidR="00A21BCF" w:rsidRPr="00B46567">
              <w:rPr>
                <w:highlight w:val="lightGray"/>
              </w:rPr>
              <w:t>metname</w:t>
            </w:r>
            <w:proofErr w:type="spellEnd"/>
            <w:r w:rsidR="00A21BCF" w:rsidRPr="00B46567">
              <w:rPr>
                <w:highlight w:val="lightGray"/>
              </w:rPr>
              <w:t xml:space="preserve"> het boek en symposium, lopen al langer, zijn door Ria van der Eerden gestart. </w:t>
            </w:r>
            <w:r w:rsidR="00CC506D" w:rsidRPr="00B46567">
              <w:rPr>
                <w:highlight w:val="lightGray"/>
              </w:rPr>
              <w:t xml:space="preserve">Idem de tentoonstelling soldatenhospitalen. De andere activiteiten zijn het werk en initiatief van Elleke. </w:t>
            </w:r>
            <w:r w:rsidR="0010102D" w:rsidRPr="00B46567">
              <w:rPr>
                <w:highlight w:val="lightGray"/>
              </w:rPr>
              <w:t xml:space="preserve">Vooral alle activiteiten rondom 1672, waaronder nauwe samenwerking met kasteel Amerongen, blog over neutraliteit Vianen in dit jaar, tentoonstelling </w:t>
            </w:r>
            <w:r w:rsidR="00B46567" w:rsidRPr="00B46567">
              <w:rPr>
                <w:highlight w:val="lightGray"/>
              </w:rPr>
              <w:t xml:space="preserve">in de verschillende bibliotheken. </w:t>
            </w:r>
            <w:r w:rsidR="0010102D" w:rsidRPr="00B46567">
              <w:rPr>
                <w:highlight w:val="lightGray"/>
              </w:rPr>
              <w:t>Ze doet het erg goed, we zijn blij met haar.</w:t>
            </w:r>
            <w:r w:rsidR="0010102D">
              <w:t xml:space="preserve"> </w:t>
            </w:r>
          </w:p>
        </w:tc>
        <w:tc>
          <w:tcPr>
            <w:tcW w:w="1651" w:type="dxa"/>
          </w:tcPr>
          <w:p w14:paraId="02B8C49E" w14:textId="77777777" w:rsidR="00BA08B3" w:rsidRDefault="00BA08B3" w:rsidP="00BA08B3">
            <w:r>
              <w:t>Bijlage 6_1</w:t>
            </w:r>
          </w:p>
        </w:tc>
      </w:tr>
      <w:tr w:rsidR="00BA08B3" w14:paraId="48A5CA12" w14:textId="77777777" w:rsidTr="00C02D76">
        <w:tc>
          <w:tcPr>
            <w:tcW w:w="567" w:type="dxa"/>
          </w:tcPr>
          <w:p w14:paraId="24CD0E2A" w14:textId="77777777" w:rsidR="00BA08B3" w:rsidRDefault="00BA08B3" w:rsidP="00BA08B3">
            <w:r>
              <w:t>7.</w:t>
            </w:r>
          </w:p>
        </w:tc>
        <w:tc>
          <w:tcPr>
            <w:tcW w:w="7988" w:type="dxa"/>
          </w:tcPr>
          <w:p w14:paraId="69A527C1" w14:textId="77777777" w:rsidR="00BA08B3" w:rsidRDefault="00BA08B3" w:rsidP="00BA08B3">
            <w:r>
              <w:t xml:space="preserve">E-depot </w:t>
            </w:r>
          </w:p>
          <w:p w14:paraId="7FF30524" w14:textId="241497A7" w:rsidR="00BA08B3" w:rsidRDefault="00BA08B3" w:rsidP="00BA08B3">
            <w:pPr>
              <w:pStyle w:val="ListParagraph"/>
              <w:numPr>
                <w:ilvl w:val="0"/>
                <w:numId w:val="23"/>
              </w:numPr>
            </w:pPr>
            <w:r>
              <w:t xml:space="preserve"> Stand van zaken (door Wietse Bakker) </w:t>
            </w:r>
          </w:p>
        </w:tc>
        <w:tc>
          <w:tcPr>
            <w:tcW w:w="1651" w:type="dxa"/>
          </w:tcPr>
          <w:p w14:paraId="29193F80" w14:textId="62799169" w:rsidR="00BA08B3" w:rsidRDefault="00C02D76" w:rsidP="00BA08B3">
            <w:r w:rsidRPr="00517208">
              <w:rPr>
                <w:highlight w:val="yellow"/>
              </w:rPr>
              <w:t>14:20-14</w:t>
            </w:r>
            <w:r w:rsidR="00517208" w:rsidRPr="00517208">
              <w:rPr>
                <w:highlight w:val="yellow"/>
              </w:rPr>
              <w:t>:28</w:t>
            </w:r>
            <w:r w:rsidR="00517208">
              <w:t xml:space="preserve"> </w:t>
            </w:r>
            <w:r w:rsidR="00517208">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tc>
      </w:tr>
      <w:tr w:rsidR="00460CB2" w14:paraId="5E1E9CDC" w14:textId="77777777" w:rsidTr="00C02D76">
        <w:tc>
          <w:tcPr>
            <w:tcW w:w="567" w:type="dxa"/>
          </w:tcPr>
          <w:p w14:paraId="6AE97A81" w14:textId="77777777" w:rsidR="00460CB2" w:rsidRDefault="00460CB2" w:rsidP="00BA08B3"/>
        </w:tc>
        <w:tc>
          <w:tcPr>
            <w:tcW w:w="7988" w:type="dxa"/>
          </w:tcPr>
          <w:p w14:paraId="025E3E6D" w14:textId="77777777" w:rsidR="00460CB2" w:rsidRDefault="00FD7893" w:rsidP="00BA08B3">
            <w:r w:rsidRPr="001F6900">
              <w:rPr>
                <w:highlight w:val="yellow"/>
              </w:rPr>
              <w:t xml:space="preserve">Bestuur heeft in december besluit genomen om e-depot in te gaan richten waarbij Common Ground principes gaan gelden. Bestuur heeft gevraagd om </w:t>
            </w:r>
            <w:proofErr w:type="spellStart"/>
            <w:r w:rsidRPr="001F6900">
              <w:rPr>
                <w:highlight w:val="yellow"/>
              </w:rPr>
              <w:t>temporisen</w:t>
            </w:r>
            <w:proofErr w:type="spellEnd"/>
            <w:r w:rsidRPr="001F6900">
              <w:rPr>
                <w:highlight w:val="yellow"/>
              </w:rPr>
              <w:t xml:space="preserve"> en faseren. </w:t>
            </w:r>
            <w:r w:rsidR="003C6CF0" w:rsidRPr="001F6900">
              <w:rPr>
                <w:highlight w:val="yellow"/>
              </w:rPr>
              <w:t>Wietse zal kort toelichten wat er gedaan is:</w:t>
            </w:r>
            <w:r w:rsidR="003C6CF0">
              <w:t xml:space="preserve"> </w:t>
            </w:r>
          </w:p>
          <w:p w14:paraId="08F39236" w14:textId="794E4EE4" w:rsidR="003C6CF0" w:rsidRPr="001F6900" w:rsidRDefault="003C6CF0" w:rsidP="0066550B">
            <w:pPr>
              <w:pStyle w:val="ListParagraph"/>
              <w:numPr>
                <w:ilvl w:val="0"/>
                <w:numId w:val="28"/>
              </w:numPr>
              <w:rPr>
                <w:highlight w:val="lightGray"/>
              </w:rPr>
            </w:pPr>
            <w:r w:rsidRPr="001F6900">
              <w:rPr>
                <w:highlight w:val="lightGray"/>
              </w:rPr>
              <w:t>Planning dit jaar voorbereiden, door inzet eigen medewerkers (Wietse en Bram) en met gebruik van de reserve e-depot.</w:t>
            </w:r>
            <w:r w:rsidR="001F6900" w:rsidRPr="001F6900">
              <w:rPr>
                <w:highlight w:val="lightGray"/>
              </w:rPr>
              <w:t xml:space="preserve"> Daarna in 2023 gaan inrichten.</w:t>
            </w:r>
            <w:r w:rsidRPr="001F6900">
              <w:rPr>
                <w:highlight w:val="lightGray"/>
              </w:rPr>
              <w:t xml:space="preserve"> </w:t>
            </w:r>
            <w:r w:rsidR="0066550B" w:rsidRPr="001F6900">
              <w:rPr>
                <w:highlight w:val="lightGray"/>
              </w:rPr>
              <w:t>Er komt een voorstel in de volgende bestuursvergadering met verwerking daarvan in de meerjarenb</w:t>
            </w:r>
            <w:r w:rsidR="001F6900" w:rsidRPr="001F6900">
              <w:rPr>
                <w:highlight w:val="lightGray"/>
              </w:rPr>
              <w:t>egroting.</w:t>
            </w:r>
          </w:p>
          <w:p w14:paraId="1A0D8F3E" w14:textId="5EF4FD04" w:rsidR="0066550B" w:rsidRDefault="0066550B" w:rsidP="0066550B">
            <w:pPr>
              <w:pStyle w:val="ListParagraph"/>
              <w:numPr>
                <w:ilvl w:val="0"/>
                <w:numId w:val="28"/>
              </w:numPr>
            </w:pPr>
            <w:r w:rsidRPr="001F6900">
              <w:rPr>
                <w:highlight w:val="lightGray"/>
              </w:rPr>
              <w:t xml:space="preserve">Voor toelichting in de raden wordt een </w:t>
            </w:r>
            <w:proofErr w:type="spellStart"/>
            <w:r w:rsidRPr="001F6900">
              <w:rPr>
                <w:highlight w:val="lightGray"/>
              </w:rPr>
              <w:t>infografic</w:t>
            </w:r>
            <w:proofErr w:type="spellEnd"/>
            <w:r w:rsidRPr="001F6900">
              <w:rPr>
                <w:highlight w:val="lightGray"/>
              </w:rPr>
              <w:t xml:space="preserve"> gemaakt.</w:t>
            </w:r>
            <w:r>
              <w:t xml:space="preserve"> </w:t>
            </w:r>
          </w:p>
        </w:tc>
        <w:tc>
          <w:tcPr>
            <w:tcW w:w="1651" w:type="dxa"/>
          </w:tcPr>
          <w:p w14:paraId="153CF20D" w14:textId="77777777" w:rsidR="00460CB2" w:rsidRPr="00517208" w:rsidRDefault="00460CB2" w:rsidP="00BA08B3">
            <w:pPr>
              <w:rPr>
                <w:highlight w:val="yellow"/>
              </w:rPr>
            </w:pPr>
          </w:p>
        </w:tc>
      </w:tr>
      <w:tr w:rsidR="00BA08B3" w14:paraId="70E3E9E3" w14:textId="77777777" w:rsidTr="00C02D76">
        <w:tc>
          <w:tcPr>
            <w:tcW w:w="567" w:type="dxa"/>
          </w:tcPr>
          <w:p w14:paraId="1B45F3B3" w14:textId="77777777" w:rsidR="00BA08B3" w:rsidRDefault="00BA08B3" w:rsidP="00BA08B3">
            <w:r>
              <w:t>8.</w:t>
            </w:r>
          </w:p>
        </w:tc>
        <w:tc>
          <w:tcPr>
            <w:tcW w:w="7988" w:type="dxa"/>
          </w:tcPr>
          <w:p w14:paraId="65A2E7BA" w14:textId="77777777" w:rsidR="00BA08B3" w:rsidRDefault="00BA08B3" w:rsidP="00BA08B3">
            <w:r>
              <w:t>Sluiting</w:t>
            </w:r>
          </w:p>
        </w:tc>
        <w:tc>
          <w:tcPr>
            <w:tcW w:w="1651" w:type="dxa"/>
          </w:tcPr>
          <w:p w14:paraId="35A0B246" w14:textId="48250040" w:rsidR="00BA08B3" w:rsidRDefault="00517208" w:rsidP="00BA08B3">
            <w:r w:rsidRPr="00517208">
              <w:rPr>
                <w:highlight w:val="yellow"/>
              </w:rPr>
              <w:t>14;28-14:30</w:t>
            </w:r>
          </w:p>
        </w:tc>
      </w:tr>
      <w:bookmarkEnd w:id="0"/>
    </w:tbl>
    <w:p w14:paraId="71ADF47A" w14:textId="77777777" w:rsidR="00906A3F" w:rsidRDefault="00906A3F" w:rsidP="005A00F0"/>
    <w:sectPr w:rsidR="00906A3F" w:rsidSect="007A14EE">
      <w:headerReference w:type="default" r:id="rId10"/>
      <w:footerReference w:type="default" r:id="rId11"/>
      <w:headerReference w:type="first" r:id="rId12"/>
      <w:pgSz w:w="11906" w:h="16838"/>
      <w:pgMar w:top="1418" w:right="1418" w:bottom="1418"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87525" w14:textId="77777777" w:rsidR="000C2358" w:rsidRDefault="000C2358" w:rsidP="005962E1">
      <w:pPr>
        <w:spacing w:line="240" w:lineRule="auto"/>
      </w:pPr>
      <w:r>
        <w:separator/>
      </w:r>
    </w:p>
  </w:endnote>
  <w:endnote w:type="continuationSeparator" w:id="0">
    <w:p w14:paraId="7DF15776" w14:textId="77777777" w:rsidR="000C2358" w:rsidRDefault="000C2358" w:rsidP="005962E1">
      <w:pPr>
        <w:spacing w:line="240" w:lineRule="auto"/>
      </w:pPr>
      <w:r>
        <w:continuationSeparator/>
      </w:r>
    </w:p>
  </w:endnote>
  <w:endnote w:type="continuationNotice" w:id="1">
    <w:p w14:paraId="7A6077DF" w14:textId="77777777" w:rsidR="000C2358" w:rsidRDefault="000C2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9DC6" w14:textId="5EE48BFF" w:rsidR="00122044" w:rsidRDefault="00122044">
    <w:pPr>
      <w:pStyle w:val="Footer"/>
      <w:jc w:val="center"/>
    </w:pPr>
    <w:r>
      <w:t xml:space="preserve">- </w:t>
    </w:r>
    <w:sdt>
      <w:sdtPr>
        <w:id w:val="-1547433924"/>
        <w:docPartObj>
          <w:docPartGallery w:val="Page Numbers (Bottom of Page)"/>
          <w:docPartUnique/>
        </w:docPartObj>
      </w:sdtPr>
      <w:sdtContent>
        <w:r>
          <w:fldChar w:fldCharType="begin"/>
        </w:r>
        <w:r>
          <w:instrText>PAGE   \* MERGEFORMAT</w:instrText>
        </w:r>
        <w:r>
          <w:fldChar w:fldCharType="separate"/>
        </w:r>
        <w:r>
          <w:t>2</w:t>
        </w:r>
        <w:r>
          <w:fldChar w:fldCharType="end"/>
        </w:r>
        <w:r w:rsidR="000777CD">
          <w:t xml:space="preserve"> -</w:t>
        </w:r>
      </w:sdtContent>
    </w:sdt>
  </w:p>
  <w:p w14:paraId="0E8DC0A8" w14:textId="77777777" w:rsidR="00122044" w:rsidRDefault="00122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3DADF" w14:textId="77777777" w:rsidR="000C2358" w:rsidRDefault="000C2358" w:rsidP="005962E1">
      <w:pPr>
        <w:spacing w:line="240" w:lineRule="auto"/>
      </w:pPr>
      <w:r>
        <w:separator/>
      </w:r>
    </w:p>
  </w:footnote>
  <w:footnote w:type="continuationSeparator" w:id="0">
    <w:p w14:paraId="79B08A83" w14:textId="77777777" w:rsidR="000C2358" w:rsidRDefault="000C2358" w:rsidP="005962E1">
      <w:pPr>
        <w:spacing w:line="240" w:lineRule="auto"/>
      </w:pPr>
      <w:r>
        <w:continuationSeparator/>
      </w:r>
    </w:p>
  </w:footnote>
  <w:footnote w:type="continuationNotice" w:id="1">
    <w:p w14:paraId="2555F553" w14:textId="77777777" w:rsidR="000C2358" w:rsidRDefault="000C23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C33E" w14:textId="06159DFF" w:rsidR="005962E1" w:rsidRDefault="005962E1" w:rsidP="006B77EA">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3232FD29" w14:textId="6CCCF868" w:rsidR="005962E1" w:rsidRDefault="005962E1" w:rsidP="006B77EA"/>
  <w:p w14:paraId="0E62A838" w14:textId="05AE228C" w:rsidR="005962E1" w:rsidRDefault="005962E1" w:rsidP="006B77EA"/>
  <w:p w14:paraId="06E62042" w14:textId="77777777" w:rsidR="005962E1" w:rsidRDefault="005962E1" w:rsidP="006B77EA">
    <w:pPr>
      <w:rPr>
        <w:rFonts w:asciiTheme="majorHAnsi" w:hAnsiTheme="majorHAnsi" w:cstheme="majorHAnsi"/>
        <w:b/>
        <w:bCs/>
        <w:sz w:val="48"/>
        <w:szCs w:val="48"/>
      </w:rPr>
    </w:pPr>
  </w:p>
  <w:p w14:paraId="424EB196" w14:textId="77777777" w:rsidR="006B77EA" w:rsidRDefault="006B77EA">
    <w:pPr>
      <w:pStyle w:val="Header"/>
    </w:pPr>
  </w:p>
  <w:p w14:paraId="29E82FA7" w14:textId="77777777" w:rsidR="00F20C2A" w:rsidRDefault="00F20C2A">
    <w:pPr>
      <w:pStyle w:val="Header"/>
    </w:pPr>
  </w:p>
  <w:p w14:paraId="7189E7BF" w14:textId="77777777" w:rsidR="009045D8" w:rsidRDefault="00904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5E34" w14:textId="73D366C6" w:rsidR="00906A3F" w:rsidRDefault="00906A3F" w:rsidP="00F00BB6">
    <w:pPr>
      <w:pStyle w:val="Header"/>
    </w:pPr>
    <w:r>
      <w:rPr>
        <w:noProof/>
      </w:rPr>
      <w:drawing>
        <wp:anchor distT="0" distB="0" distL="114300" distR="114300" simplePos="0" relativeHeight="251658241" behindDoc="1" locked="0" layoutInCell="1" allowOverlap="1" wp14:anchorId="751D2806" wp14:editId="46680068">
          <wp:simplePos x="0" y="0"/>
          <wp:positionH relativeFrom="page">
            <wp:posOffset>360045</wp:posOffset>
          </wp:positionH>
          <wp:positionV relativeFrom="paragraph">
            <wp:posOffset>29644</wp:posOffset>
          </wp:positionV>
          <wp:extent cx="1292400" cy="950400"/>
          <wp:effectExtent l="0" t="0" r="3175" b="2540"/>
          <wp:wrapNone/>
          <wp:docPr id="2"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FE33B" w14:textId="6904BC56" w:rsidR="00906A3F" w:rsidRPr="006C4D00" w:rsidRDefault="00E202C5" w:rsidP="00906A3F">
    <w:pPr>
      <w:pStyle w:val="Header"/>
      <w:jc w:val="center"/>
      <w:rPr>
        <w:rFonts w:asciiTheme="majorHAnsi" w:hAnsiTheme="majorHAnsi" w:cstheme="majorHAnsi"/>
        <w:b/>
        <w:bCs/>
        <w:sz w:val="48"/>
        <w:szCs w:val="48"/>
      </w:rPr>
    </w:pPr>
    <w:r>
      <w:rPr>
        <w:rFonts w:asciiTheme="majorHAnsi" w:hAnsiTheme="majorHAnsi" w:cstheme="majorHAnsi"/>
        <w:b/>
        <w:bCs/>
        <w:sz w:val="48"/>
        <w:szCs w:val="48"/>
      </w:rPr>
      <w:t>Agenda</w:t>
    </w:r>
    <w:r w:rsidR="005629CF">
      <w:rPr>
        <w:rFonts w:asciiTheme="majorHAnsi" w:hAnsiTheme="majorHAnsi" w:cstheme="majorHAnsi"/>
        <w:b/>
        <w:bCs/>
        <w:sz w:val="48"/>
        <w:szCs w:val="48"/>
      </w:rPr>
      <w:t xml:space="preserve"> </w:t>
    </w:r>
    <w:r w:rsidR="00BA5B25">
      <w:rPr>
        <w:rFonts w:asciiTheme="majorHAnsi" w:hAnsiTheme="majorHAnsi" w:cstheme="majorHAnsi"/>
        <w:b/>
        <w:bCs/>
        <w:sz w:val="48"/>
        <w:szCs w:val="48"/>
      </w:rPr>
      <w:t xml:space="preserve">bestuursvergadering RAZU </w:t>
    </w:r>
  </w:p>
  <w:p w14:paraId="218D2F51" w14:textId="77777777" w:rsidR="00906A3F" w:rsidRDefault="00906A3F" w:rsidP="00906A3F">
    <w:pPr>
      <w:pStyle w:val="Header"/>
    </w:pPr>
  </w:p>
  <w:p w14:paraId="405D0AF2" w14:textId="77777777" w:rsidR="00906A3F" w:rsidRDefault="00906A3F" w:rsidP="00906A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22D1"/>
    <w:multiLevelType w:val="hybridMultilevel"/>
    <w:tmpl w:val="CB448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2" w15:restartNumberingAfterBreak="0">
    <w:nsid w:val="10D44E81"/>
    <w:multiLevelType w:val="hybridMultilevel"/>
    <w:tmpl w:val="EF5889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00A7B"/>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7" w15:restartNumberingAfterBreak="0">
    <w:nsid w:val="29ED3566"/>
    <w:multiLevelType w:val="hybridMultilevel"/>
    <w:tmpl w:val="8318D7A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0" w15:restartNumberingAfterBreak="0">
    <w:nsid w:val="2FD8262D"/>
    <w:multiLevelType w:val="hybridMultilevel"/>
    <w:tmpl w:val="6F686C04"/>
    <w:lvl w:ilvl="0" w:tplc="E2FC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E5758F0"/>
    <w:multiLevelType w:val="hybridMultilevel"/>
    <w:tmpl w:val="151E644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5076A1D"/>
    <w:multiLevelType w:val="hybridMultilevel"/>
    <w:tmpl w:val="424CF08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519081F"/>
    <w:multiLevelType w:val="hybridMultilevel"/>
    <w:tmpl w:val="735894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72A3459"/>
    <w:multiLevelType w:val="hybridMultilevel"/>
    <w:tmpl w:val="84EE20D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0D1071F"/>
    <w:multiLevelType w:val="hybridMultilevel"/>
    <w:tmpl w:val="DA4AE0D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66324BCD"/>
    <w:multiLevelType w:val="hybridMultilevel"/>
    <w:tmpl w:val="CA3C0090"/>
    <w:lvl w:ilvl="0" w:tplc="0413000F">
      <w:start w:val="1"/>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841ACF"/>
    <w:multiLevelType w:val="hybridMultilevel"/>
    <w:tmpl w:val="3B34A86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748C7650"/>
    <w:multiLevelType w:val="hybridMultilevel"/>
    <w:tmpl w:val="794275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6322F86"/>
    <w:multiLevelType w:val="hybridMultilevel"/>
    <w:tmpl w:val="2C6C718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766D7A5A"/>
    <w:multiLevelType w:val="hybridMultilevel"/>
    <w:tmpl w:val="5AB2F58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1"/>
  </w:num>
  <w:num w:numId="2">
    <w:abstractNumId w:val="1"/>
  </w:num>
  <w:num w:numId="3">
    <w:abstractNumId w:val="9"/>
  </w:num>
  <w:num w:numId="4">
    <w:abstractNumId w:val="16"/>
  </w:num>
  <w:num w:numId="5">
    <w:abstractNumId w:val="20"/>
  </w:num>
  <w:num w:numId="6">
    <w:abstractNumId w:val="18"/>
  </w:num>
  <w:num w:numId="7">
    <w:abstractNumId w:val="17"/>
  </w:num>
  <w:num w:numId="8">
    <w:abstractNumId w:val="3"/>
  </w:num>
  <w:num w:numId="9">
    <w:abstractNumId w:val="23"/>
  </w:num>
  <w:num w:numId="10">
    <w:abstractNumId w:val="15"/>
  </w:num>
  <w:num w:numId="11">
    <w:abstractNumId w:val="5"/>
  </w:num>
  <w:num w:numId="12">
    <w:abstractNumId w:val="8"/>
  </w:num>
  <w:num w:numId="13">
    <w:abstractNumId w:val="22"/>
  </w:num>
  <w:num w:numId="14">
    <w:abstractNumId w:val="10"/>
  </w:num>
  <w:num w:numId="15">
    <w:abstractNumId w:val="6"/>
  </w:num>
  <w:num w:numId="16">
    <w:abstractNumId w:val="0"/>
  </w:num>
  <w:num w:numId="17">
    <w:abstractNumId w:val="14"/>
  </w:num>
  <w:num w:numId="18">
    <w:abstractNumId w:val="2"/>
  </w:num>
  <w:num w:numId="19">
    <w:abstractNumId w:val="13"/>
  </w:num>
  <w:num w:numId="20">
    <w:abstractNumId w:val="7"/>
  </w:num>
  <w:num w:numId="21">
    <w:abstractNumId w:val="21"/>
  </w:num>
  <w:num w:numId="22">
    <w:abstractNumId w:val="27"/>
  </w:num>
  <w:num w:numId="23">
    <w:abstractNumId w:val="4"/>
  </w:num>
  <w:num w:numId="24">
    <w:abstractNumId w:val="26"/>
  </w:num>
  <w:num w:numId="25">
    <w:abstractNumId w:val="24"/>
  </w:num>
  <w:num w:numId="26">
    <w:abstractNumId w:val="19"/>
  </w:num>
  <w:num w:numId="27">
    <w:abstractNumId w:val="12"/>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147C4"/>
    <w:rsid w:val="000152C9"/>
    <w:rsid w:val="00025670"/>
    <w:rsid w:val="00033A2F"/>
    <w:rsid w:val="000608A8"/>
    <w:rsid w:val="00061723"/>
    <w:rsid w:val="00067B7F"/>
    <w:rsid w:val="000731A1"/>
    <w:rsid w:val="000777CD"/>
    <w:rsid w:val="00080426"/>
    <w:rsid w:val="00082C4A"/>
    <w:rsid w:val="00095E5B"/>
    <w:rsid w:val="000B1D7F"/>
    <w:rsid w:val="000B2430"/>
    <w:rsid w:val="000C2358"/>
    <w:rsid w:val="000C2C1C"/>
    <w:rsid w:val="000D2559"/>
    <w:rsid w:val="0010102D"/>
    <w:rsid w:val="00107272"/>
    <w:rsid w:val="00122044"/>
    <w:rsid w:val="001246CC"/>
    <w:rsid w:val="00127851"/>
    <w:rsid w:val="00134C9C"/>
    <w:rsid w:val="00135F57"/>
    <w:rsid w:val="00144FA9"/>
    <w:rsid w:val="00147359"/>
    <w:rsid w:val="0015145C"/>
    <w:rsid w:val="001669D0"/>
    <w:rsid w:val="00172D95"/>
    <w:rsid w:val="001776A7"/>
    <w:rsid w:val="00195DF7"/>
    <w:rsid w:val="001A6720"/>
    <w:rsid w:val="001B59E5"/>
    <w:rsid w:val="001E144C"/>
    <w:rsid w:val="001E31D8"/>
    <w:rsid w:val="001E76FD"/>
    <w:rsid w:val="001F6900"/>
    <w:rsid w:val="0020668C"/>
    <w:rsid w:val="002076FA"/>
    <w:rsid w:val="00207847"/>
    <w:rsid w:val="0021724A"/>
    <w:rsid w:val="00222B12"/>
    <w:rsid w:val="0023242D"/>
    <w:rsid w:val="00236E6C"/>
    <w:rsid w:val="00241070"/>
    <w:rsid w:val="00246825"/>
    <w:rsid w:val="002473B9"/>
    <w:rsid w:val="0025265A"/>
    <w:rsid w:val="00254D60"/>
    <w:rsid w:val="00262B9E"/>
    <w:rsid w:val="00265B58"/>
    <w:rsid w:val="00270FCD"/>
    <w:rsid w:val="00272F9A"/>
    <w:rsid w:val="0028233D"/>
    <w:rsid w:val="002836A8"/>
    <w:rsid w:val="00296141"/>
    <w:rsid w:val="002B06A6"/>
    <w:rsid w:val="002E3807"/>
    <w:rsid w:val="00300FB1"/>
    <w:rsid w:val="00327265"/>
    <w:rsid w:val="0034490D"/>
    <w:rsid w:val="00353317"/>
    <w:rsid w:val="00360DB0"/>
    <w:rsid w:val="0036149F"/>
    <w:rsid w:val="0036307E"/>
    <w:rsid w:val="0037345D"/>
    <w:rsid w:val="00375FAD"/>
    <w:rsid w:val="003A3FA4"/>
    <w:rsid w:val="003B2F3B"/>
    <w:rsid w:val="003B39B7"/>
    <w:rsid w:val="003B6944"/>
    <w:rsid w:val="003C5051"/>
    <w:rsid w:val="003C6CF0"/>
    <w:rsid w:val="003D6EC7"/>
    <w:rsid w:val="003E6A18"/>
    <w:rsid w:val="003F330C"/>
    <w:rsid w:val="0040237F"/>
    <w:rsid w:val="004046BF"/>
    <w:rsid w:val="00404779"/>
    <w:rsid w:val="00412AF0"/>
    <w:rsid w:val="00413D8C"/>
    <w:rsid w:val="004141C7"/>
    <w:rsid w:val="004301AB"/>
    <w:rsid w:val="00435DCE"/>
    <w:rsid w:val="00453E5D"/>
    <w:rsid w:val="00460554"/>
    <w:rsid w:val="00460CB2"/>
    <w:rsid w:val="00486E70"/>
    <w:rsid w:val="00496BCB"/>
    <w:rsid w:val="004A21A6"/>
    <w:rsid w:val="004A3099"/>
    <w:rsid w:val="004A61DD"/>
    <w:rsid w:val="004B08F2"/>
    <w:rsid w:val="004B7D33"/>
    <w:rsid w:val="004E2B38"/>
    <w:rsid w:val="004E7408"/>
    <w:rsid w:val="004F3E00"/>
    <w:rsid w:val="00502880"/>
    <w:rsid w:val="005115DC"/>
    <w:rsid w:val="00513A37"/>
    <w:rsid w:val="00517208"/>
    <w:rsid w:val="00527341"/>
    <w:rsid w:val="0053043F"/>
    <w:rsid w:val="005418FE"/>
    <w:rsid w:val="005629CF"/>
    <w:rsid w:val="0057126B"/>
    <w:rsid w:val="00580015"/>
    <w:rsid w:val="0058418B"/>
    <w:rsid w:val="0059065D"/>
    <w:rsid w:val="00590EA9"/>
    <w:rsid w:val="005962E1"/>
    <w:rsid w:val="005A00F0"/>
    <w:rsid w:val="005B6443"/>
    <w:rsid w:val="005B7F11"/>
    <w:rsid w:val="005C4552"/>
    <w:rsid w:val="005D2B53"/>
    <w:rsid w:val="005D5035"/>
    <w:rsid w:val="005F0510"/>
    <w:rsid w:val="005F663B"/>
    <w:rsid w:val="006042AF"/>
    <w:rsid w:val="00610DD4"/>
    <w:rsid w:val="00616F32"/>
    <w:rsid w:val="0062528E"/>
    <w:rsid w:val="006326C9"/>
    <w:rsid w:val="0064311D"/>
    <w:rsid w:val="0066425C"/>
    <w:rsid w:val="0066550B"/>
    <w:rsid w:val="006777A6"/>
    <w:rsid w:val="0069710B"/>
    <w:rsid w:val="006A684E"/>
    <w:rsid w:val="006A76A8"/>
    <w:rsid w:val="006B77EA"/>
    <w:rsid w:val="006C4D00"/>
    <w:rsid w:val="006C5EFF"/>
    <w:rsid w:val="006D0C03"/>
    <w:rsid w:val="006E78A6"/>
    <w:rsid w:val="00703EE8"/>
    <w:rsid w:val="00711748"/>
    <w:rsid w:val="007128DE"/>
    <w:rsid w:val="00731D1C"/>
    <w:rsid w:val="00734917"/>
    <w:rsid w:val="0073528C"/>
    <w:rsid w:val="0073682E"/>
    <w:rsid w:val="007370D0"/>
    <w:rsid w:val="00754810"/>
    <w:rsid w:val="00755E34"/>
    <w:rsid w:val="00766EEA"/>
    <w:rsid w:val="00776145"/>
    <w:rsid w:val="0078149C"/>
    <w:rsid w:val="007878E8"/>
    <w:rsid w:val="007A14EE"/>
    <w:rsid w:val="007B572B"/>
    <w:rsid w:val="007B6DB1"/>
    <w:rsid w:val="007D3723"/>
    <w:rsid w:val="007D649D"/>
    <w:rsid w:val="00802A33"/>
    <w:rsid w:val="00806E29"/>
    <w:rsid w:val="00806E30"/>
    <w:rsid w:val="00812D0A"/>
    <w:rsid w:val="00812F63"/>
    <w:rsid w:val="00816A10"/>
    <w:rsid w:val="00836BD9"/>
    <w:rsid w:val="00842DB3"/>
    <w:rsid w:val="00845724"/>
    <w:rsid w:val="00846CEE"/>
    <w:rsid w:val="008518E3"/>
    <w:rsid w:val="00886AB0"/>
    <w:rsid w:val="00894212"/>
    <w:rsid w:val="00896D2F"/>
    <w:rsid w:val="008A0DA1"/>
    <w:rsid w:val="008B56B2"/>
    <w:rsid w:val="008B66E6"/>
    <w:rsid w:val="008B7185"/>
    <w:rsid w:val="008D36AD"/>
    <w:rsid w:val="008D3715"/>
    <w:rsid w:val="008E07EA"/>
    <w:rsid w:val="008E7154"/>
    <w:rsid w:val="008F26D0"/>
    <w:rsid w:val="009045D8"/>
    <w:rsid w:val="00906A3F"/>
    <w:rsid w:val="00914342"/>
    <w:rsid w:val="00917ABE"/>
    <w:rsid w:val="009211D4"/>
    <w:rsid w:val="009228C6"/>
    <w:rsid w:val="0092784D"/>
    <w:rsid w:val="00933132"/>
    <w:rsid w:val="00942D25"/>
    <w:rsid w:val="00952C94"/>
    <w:rsid w:val="00963D5D"/>
    <w:rsid w:val="00965366"/>
    <w:rsid w:val="00965995"/>
    <w:rsid w:val="00972859"/>
    <w:rsid w:val="00981834"/>
    <w:rsid w:val="00981F56"/>
    <w:rsid w:val="009924D4"/>
    <w:rsid w:val="00994843"/>
    <w:rsid w:val="00994AC0"/>
    <w:rsid w:val="009C2D74"/>
    <w:rsid w:val="009C4B97"/>
    <w:rsid w:val="009C4E51"/>
    <w:rsid w:val="009C6547"/>
    <w:rsid w:val="009C7F84"/>
    <w:rsid w:val="009E2C07"/>
    <w:rsid w:val="009E5B45"/>
    <w:rsid w:val="009E7B2E"/>
    <w:rsid w:val="00A02A67"/>
    <w:rsid w:val="00A1364E"/>
    <w:rsid w:val="00A21BCF"/>
    <w:rsid w:val="00A334BD"/>
    <w:rsid w:val="00A3450E"/>
    <w:rsid w:val="00A36A1F"/>
    <w:rsid w:val="00A41CC1"/>
    <w:rsid w:val="00A56EA3"/>
    <w:rsid w:val="00A66D85"/>
    <w:rsid w:val="00A70C02"/>
    <w:rsid w:val="00A928D3"/>
    <w:rsid w:val="00A944F9"/>
    <w:rsid w:val="00AA4C16"/>
    <w:rsid w:val="00AA5A0C"/>
    <w:rsid w:val="00AB3390"/>
    <w:rsid w:val="00AC4874"/>
    <w:rsid w:val="00AC489A"/>
    <w:rsid w:val="00AD5ACA"/>
    <w:rsid w:val="00AE0A13"/>
    <w:rsid w:val="00AE19E8"/>
    <w:rsid w:val="00AF658F"/>
    <w:rsid w:val="00B03749"/>
    <w:rsid w:val="00B0629E"/>
    <w:rsid w:val="00B06DE0"/>
    <w:rsid w:val="00B322E2"/>
    <w:rsid w:val="00B32E56"/>
    <w:rsid w:val="00B359EF"/>
    <w:rsid w:val="00B46567"/>
    <w:rsid w:val="00B8279B"/>
    <w:rsid w:val="00B847AA"/>
    <w:rsid w:val="00B84F40"/>
    <w:rsid w:val="00B854E2"/>
    <w:rsid w:val="00BA08B3"/>
    <w:rsid w:val="00BA5B25"/>
    <w:rsid w:val="00BB488A"/>
    <w:rsid w:val="00BD1D56"/>
    <w:rsid w:val="00BE6D73"/>
    <w:rsid w:val="00BF0327"/>
    <w:rsid w:val="00BF1F5A"/>
    <w:rsid w:val="00C02D76"/>
    <w:rsid w:val="00C04A83"/>
    <w:rsid w:val="00C0745B"/>
    <w:rsid w:val="00C1273E"/>
    <w:rsid w:val="00C251CC"/>
    <w:rsid w:val="00C53262"/>
    <w:rsid w:val="00C7447F"/>
    <w:rsid w:val="00C87FDC"/>
    <w:rsid w:val="00C91D7F"/>
    <w:rsid w:val="00C979C3"/>
    <w:rsid w:val="00CC506D"/>
    <w:rsid w:val="00CC6418"/>
    <w:rsid w:val="00D00D52"/>
    <w:rsid w:val="00D0663D"/>
    <w:rsid w:val="00D07576"/>
    <w:rsid w:val="00D23E9A"/>
    <w:rsid w:val="00D255FD"/>
    <w:rsid w:val="00D60689"/>
    <w:rsid w:val="00D742FC"/>
    <w:rsid w:val="00D80D37"/>
    <w:rsid w:val="00D813A6"/>
    <w:rsid w:val="00D82A63"/>
    <w:rsid w:val="00D843F8"/>
    <w:rsid w:val="00DB5892"/>
    <w:rsid w:val="00DC0001"/>
    <w:rsid w:val="00DC060D"/>
    <w:rsid w:val="00DD10ED"/>
    <w:rsid w:val="00DD2739"/>
    <w:rsid w:val="00DE027C"/>
    <w:rsid w:val="00DE3DD4"/>
    <w:rsid w:val="00DE449A"/>
    <w:rsid w:val="00DE50F7"/>
    <w:rsid w:val="00E0648A"/>
    <w:rsid w:val="00E202C5"/>
    <w:rsid w:val="00E20A91"/>
    <w:rsid w:val="00E63FB1"/>
    <w:rsid w:val="00E70BBA"/>
    <w:rsid w:val="00E71A05"/>
    <w:rsid w:val="00E75612"/>
    <w:rsid w:val="00E75700"/>
    <w:rsid w:val="00E87BD1"/>
    <w:rsid w:val="00E94999"/>
    <w:rsid w:val="00EB446E"/>
    <w:rsid w:val="00EC1958"/>
    <w:rsid w:val="00EC5949"/>
    <w:rsid w:val="00ED0BB2"/>
    <w:rsid w:val="00ED229E"/>
    <w:rsid w:val="00ED62FD"/>
    <w:rsid w:val="00ED6576"/>
    <w:rsid w:val="00EE0232"/>
    <w:rsid w:val="00EF2986"/>
    <w:rsid w:val="00EF4137"/>
    <w:rsid w:val="00EF5D6E"/>
    <w:rsid w:val="00F007F8"/>
    <w:rsid w:val="00F00BB6"/>
    <w:rsid w:val="00F06418"/>
    <w:rsid w:val="00F20C2A"/>
    <w:rsid w:val="00F212DA"/>
    <w:rsid w:val="00F44D0B"/>
    <w:rsid w:val="00F54277"/>
    <w:rsid w:val="00F6147C"/>
    <w:rsid w:val="00F63057"/>
    <w:rsid w:val="00F64C3C"/>
    <w:rsid w:val="00F64FA6"/>
    <w:rsid w:val="00F76A9A"/>
    <w:rsid w:val="00F81296"/>
    <w:rsid w:val="00FA1D1D"/>
    <w:rsid w:val="00FA481F"/>
    <w:rsid w:val="00FB08EC"/>
    <w:rsid w:val="00FB434F"/>
    <w:rsid w:val="00FB5DE6"/>
    <w:rsid w:val="00FB7850"/>
    <w:rsid w:val="00FD66E4"/>
    <w:rsid w:val="00FD7893"/>
    <w:rsid w:val="00FE2A3E"/>
    <w:rsid w:val="00FE5DD1"/>
    <w:rsid w:val="00FE7F2B"/>
    <w:rsid w:val="00FF0B65"/>
    <w:rsid w:val="00FF4D4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F459E12C-B580-4CC9-9342-513AD4564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ACA"/>
    <w:pPr>
      <w:spacing w:after="120"/>
    </w:pPr>
    <w:rPr>
      <w:sz w:val="20"/>
    </w:rPr>
  </w:style>
  <w:style w:type="paragraph" w:styleId="Heading1">
    <w:name w:val="heading 1"/>
    <w:basedOn w:val="Normal"/>
    <w:next w:val="Normal"/>
    <w:link w:val="Heading1Char"/>
    <w:uiPriority w:val="9"/>
    <w:qFormat/>
    <w:rsid w:val="0028233D"/>
    <w:pPr>
      <w:keepNext/>
      <w:keepLines/>
      <w:spacing w:before="24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836BD9"/>
    <w:pPr>
      <w:keepNext/>
      <w:keepLines/>
      <w:spacing w:before="12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2E1"/>
    <w:pPr>
      <w:tabs>
        <w:tab w:val="center" w:pos="4536"/>
        <w:tab w:val="right" w:pos="9072"/>
      </w:tabs>
      <w:spacing w:line="240" w:lineRule="auto"/>
    </w:pPr>
  </w:style>
  <w:style w:type="character" w:customStyle="1" w:styleId="HeaderChar">
    <w:name w:val="Header Char"/>
    <w:basedOn w:val="DefaultParagraphFont"/>
    <w:link w:val="Header"/>
    <w:uiPriority w:val="99"/>
    <w:rsid w:val="005962E1"/>
  </w:style>
  <w:style w:type="paragraph" w:styleId="Footer">
    <w:name w:val="footer"/>
    <w:basedOn w:val="Normal"/>
    <w:link w:val="FooterChar"/>
    <w:uiPriority w:val="99"/>
    <w:unhideWhenUsed/>
    <w:rsid w:val="005962E1"/>
    <w:pPr>
      <w:tabs>
        <w:tab w:val="center" w:pos="4536"/>
        <w:tab w:val="right" w:pos="9072"/>
      </w:tabs>
      <w:spacing w:line="240" w:lineRule="auto"/>
    </w:pPr>
  </w:style>
  <w:style w:type="character" w:customStyle="1" w:styleId="FooterChar">
    <w:name w:val="Footer Char"/>
    <w:basedOn w:val="DefaultParagraphFont"/>
    <w:link w:val="Footer"/>
    <w:uiPriority w:val="99"/>
    <w:rsid w:val="005962E1"/>
  </w:style>
  <w:style w:type="character" w:customStyle="1" w:styleId="Heading1Char">
    <w:name w:val="Heading 1 Char"/>
    <w:basedOn w:val="DefaultParagraphFont"/>
    <w:link w:val="Heading1"/>
    <w:uiPriority w:val="9"/>
    <w:rsid w:val="0028233D"/>
    <w:rPr>
      <w:rFonts w:asciiTheme="majorHAnsi" w:eastAsiaTheme="majorEastAsia" w:hAnsiTheme="majorHAnsi" w:cstheme="majorBidi"/>
      <w:b/>
      <w:sz w:val="28"/>
      <w:szCs w:val="32"/>
    </w:rPr>
  </w:style>
  <w:style w:type="character" w:customStyle="1" w:styleId="Heading2Char">
    <w:name w:val="Heading 2 Char"/>
    <w:basedOn w:val="DefaultParagraphFont"/>
    <w:link w:val="Heading2"/>
    <w:uiPriority w:val="9"/>
    <w:rsid w:val="00836BD9"/>
    <w:rPr>
      <w:rFonts w:asciiTheme="majorHAnsi" w:eastAsiaTheme="majorEastAsia" w:hAnsiTheme="majorHAnsi" w:cstheme="majorBidi"/>
      <w:b/>
      <w:sz w:val="24"/>
      <w:szCs w:val="26"/>
    </w:rPr>
  </w:style>
  <w:style w:type="paragraph" w:styleId="Title">
    <w:name w:val="Title"/>
    <w:basedOn w:val="Normal"/>
    <w:next w:val="Normal"/>
    <w:link w:val="TitleChar"/>
    <w:uiPriority w:val="10"/>
    <w:qFormat/>
    <w:rsid w:val="0064311D"/>
    <w:pPr>
      <w:spacing w:line="240" w:lineRule="auto"/>
      <w:contextualSpacing/>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64311D"/>
    <w:rPr>
      <w:rFonts w:asciiTheme="majorHAnsi" w:eastAsiaTheme="majorEastAsia" w:hAnsiTheme="majorHAnsi" w:cstheme="majorBidi"/>
      <w:b/>
      <w:spacing w:val="-10"/>
      <w:kern w:val="28"/>
      <w:sz w:val="28"/>
      <w:szCs w:val="56"/>
    </w:rPr>
  </w:style>
  <w:style w:type="character" w:customStyle="1" w:styleId="Heading3Char">
    <w:name w:val="Heading 3 Char"/>
    <w:basedOn w:val="DefaultParagraphFont"/>
    <w:link w:val="Heading3"/>
    <w:uiPriority w:val="9"/>
    <w:rsid w:val="00EF2986"/>
    <w:rPr>
      <w:rFonts w:asciiTheme="majorHAnsi" w:eastAsiaTheme="majorEastAsia" w:hAnsiTheme="majorHAnsi" w:cstheme="majorBidi"/>
      <w:b/>
      <w:sz w:val="20"/>
      <w:szCs w:val="24"/>
    </w:rPr>
  </w:style>
  <w:style w:type="paragraph" w:styleId="NoSpacing">
    <w:name w:val="No Spacing"/>
    <w:uiPriority w:val="1"/>
    <w:qFormat/>
    <w:rsid w:val="000608A8"/>
    <w:pPr>
      <w:spacing w:after="0" w:line="240" w:lineRule="auto"/>
    </w:pPr>
  </w:style>
  <w:style w:type="paragraph" w:styleId="ListParagraph">
    <w:name w:val="List Paragraph"/>
    <w:basedOn w:val="Normal"/>
    <w:uiPriority w:val="34"/>
    <w:qFormat/>
    <w:rsid w:val="000608A8"/>
    <w:pPr>
      <w:spacing w:after="160"/>
      <w:ind w:left="720"/>
      <w:contextualSpacing/>
    </w:pPr>
  </w:style>
  <w:style w:type="character" w:styleId="FootnoteReference">
    <w:name w:val="footnote reference"/>
    <w:basedOn w:val="DefaultParagraphFont"/>
    <w:uiPriority w:val="99"/>
    <w:semiHidden/>
    <w:unhideWhenUsed/>
    <w:rsid w:val="000608A8"/>
    <w:rPr>
      <w:vertAlign w:val="superscript"/>
    </w:rPr>
  </w:style>
  <w:style w:type="character" w:customStyle="1" w:styleId="FootnoteTextChar">
    <w:name w:val="Footnote Text Char"/>
    <w:basedOn w:val="DefaultParagraphFont"/>
    <w:link w:val="FootnoteText"/>
    <w:uiPriority w:val="99"/>
    <w:semiHidden/>
    <w:rsid w:val="000608A8"/>
    <w:rPr>
      <w:sz w:val="20"/>
      <w:szCs w:val="20"/>
    </w:rPr>
  </w:style>
  <w:style w:type="paragraph" w:styleId="FootnoteText">
    <w:name w:val="footnote text"/>
    <w:basedOn w:val="Normal"/>
    <w:link w:val="FootnoteTextChar"/>
    <w:uiPriority w:val="99"/>
    <w:semiHidden/>
    <w:unhideWhenUsed/>
    <w:rsid w:val="000608A8"/>
    <w:pPr>
      <w:spacing w:line="240" w:lineRule="auto"/>
    </w:pPr>
    <w:rPr>
      <w:szCs w:val="20"/>
    </w:rPr>
  </w:style>
  <w:style w:type="character" w:customStyle="1" w:styleId="VoetnoottekstChar1">
    <w:name w:val="Voetnoottekst Char1"/>
    <w:basedOn w:val="DefaultParagraphFont"/>
    <w:uiPriority w:val="99"/>
    <w:semiHidden/>
    <w:rsid w:val="000608A8"/>
    <w:rPr>
      <w:sz w:val="20"/>
      <w:szCs w:val="20"/>
    </w:rPr>
  </w:style>
  <w:style w:type="table" w:styleId="GridTable4-Accent3">
    <w:name w:val="Grid Table 4 Accent 3"/>
    <w:basedOn w:val="TableNorma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15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E33207-278A-4FDC-B1B2-86DFC1B18C79}"/>
</file>

<file path=customXml/itemProps2.xml><?xml version="1.0" encoding="utf-8"?>
<ds:datastoreItem xmlns:ds="http://schemas.openxmlformats.org/officeDocument/2006/customXml" ds:itemID="{85B54D26-39E7-4AB3-8F77-5CD4401171C3}">
  <ds:schemaRefs>
    <ds:schemaRef ds:uri="http://schemas.microsoft.com/sharepoint/v3/contenttype/forms"/>
  </ds:schemaRefs>
</ds:datastoreItem>
</file>

<file path=customXml/itemProps3.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3959</TotalTime>
  <Pages>1</Pages>
  <Words>1458</Words>
  <Characters>8316</Characters>
  <Application>Microsoft Office Word</Application>
  <DocSecurity>4</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139</cp:revision>
  <cp:lastPrinted>2022-02-09T10:46:00Z</cp:lastPrinted>
  <dcterms:created xsi:type="dcterms:W3CDTF">2022-03-05T02:25:00Z</dcterms:created>
  <dcterms:modified xsi:type="dcterms:W3CDTF">2022-03-09T20:52:00Z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7240100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