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9A35D" w14:textId="7B40A3C3" w:rsidR="00B3072C" w:rsidRDefault="00B3072C" w:rsidP="00FF5672">
      <w:pPr>
        <w:ind w:left="1980"/>
      </w:pPr>
    </w:p>
    <w:p w14:paraId="7B630DC9" w14:textId="0BC06DBA" w:rsidR="005C72C6" w:rsidRPr="002D578E" w:rsidRDefault="002847A3" w:rsidP="00FF5672">
      <w:pPr>
        <w:ind w:left="1980"/>
        <w:rPr>
          <w:rFonts w:ascii="Arial" w:hAnsi="Arial" w:cs="Arial"/>
          <w:b/>
          <w:bCs/>
          <w:color w:val="6C5A82"/>
        </w:rPr>
      </w:pPr>
      <w:r>
        <w:tab/>
      </w:r>
      <w:r>
        <w:tab/>
      </w:r>
      <w:r>
        <w:tab/>
      </w:r>
      <w:r>
        <w:tab/>
      </w:r>
      <w:r>
        <w:tab/>
      </w:r>
      <w:r>
        <w:tab/>
      </w:r>
      <w:r>
        <w:tab/>
      </w:r>
      <w:r>
        <w:tab/>
      </w:r>
      <w:r>
        <w:tab/>
      </w:r>
      <w:r>
        <w:tab/>
      </w:r>
      <w:r w:rsidRPr="002D578E">
        <w:rPr>
          <w:rFonts w:ascii="Arial" w:hAnsi="Arial" w:cs="Arial"/>
          <w:b/>
          <w:bCs/>
          <w:color w:val="6C5A82"/>
        </w:rPr>
        <w:t>Bijlage</w:t>
      </w:r>
      <w:r w:rsidR="00A86856">
        <w:rPr>
          <w:rFonts w:ascii="Arial" w:hAnsi="Arial" w:cs="Arial"/>
          <w:b/>
          <w:bCs/>
          <w:color w:val="6C5A82"/>
        </w:rPr>
        <w:t xml:space="preserve"> </w:t>
      </w:r>
      <w:r w:rsidR="00114D86">
        <w:rPr>
          <w:rFonts w:ascii="Arial" w:hAnsi="Arial" w:cs="Arial"/>
          <w:b/>
          <w:bCs/>
          <w:color w:val="6C5A82"/>
        </w:rPr>
        <w:t>6</w:t>
      </w:r>
    </w:p>
    <w:p w14:paraId="131CC6E0" w14:textId="56188B86" w:rsidR="005C72C6" w:rsidRPr="002D578E" w:rsidRDefault="009551D0" w:rsidP="00EB720F">
      <w:pPr>
        <w:ind w:left="1980"/>
        <w:rPr>
          <w:b/>
          <w:bCs/>
          <w:color w:val="6C5A82"/>
          <w:sz w:val="32"/>
          <w:szCs w:val="32"/>
        </w:rPr>
      </w:pPr>
      <w:r>
        <w:rPr>
          <w:b/>
          <w:bCs/>
          <w:color w:val="6C5A82"/>
          <w:sz w:val="32"/>
          <w:szCs w:val="32"/>
        </w:rPr>
        <w:t xml:space="preserve">Memo: Common </w:t>
      </w:r>
      <w:proofErr w:type="spellStart"/>
      <w:r>
        <w:rPr>
          <w:b/>
          <w:bCs/>
          <w:color w:val="6C5A82"/>
          <w:sz w:val="32"/>
          <w:szCs w:val="32"/>
        </w:rPr>
        <w:t>Ground</w:t>
      </w:r>
      <w:proofErr w:type="spellEnd"/>
      <w:r>
        <w:rPr>
          <w:b/>
          <w:bCs/>
          <w:color w:val="6C5A82"/>
          <w:sz w:val="32"/>
          <w:szCs w:val="32"/>
        </w:rPr>
        <w:t xml:space="preserve"> en het e-depot</w:t>
      </w:r>
    </w:p>
    <w:p w14:paraId="71A056EE" w14:textId="408F1104" w:rsidR="0073241D" w:rsidRPr="0048312C" w:rsidRDefault="0073241D" w:rsidP="0048312C">
      <w:pPr>
        <w:pStyle w:val="Lijstalinea"/>
        <w:numPr>
          <w:ilvl w:val="0"/>
          <w:numId w:val="13"/>
        </w:numPr>
        <w:jc w:val="both"/>
        <w:rPr>
          <w:b/>
          <w:bCs/>
          <w:color w:val="6C5A82"/>
          <w:sz w:val="28"/>
          <w:szCs w:val="28"/>
        </w:rPr>
      </w:pPr>
      <w:r w:rsidRPr="0048312C">
        <w:rPr>
          <w:b/>
          <w:bCs/>
          <w:color w:val="6C5A82"/>
          <w:sz w:val="28"/>
          <w:szCs w:val="28"/>
        </w:rPr>
        <w:t>Inleiding</w:t>
      </w:r>
    </w:p>
    <w:p w14:paraId="6F9CBF16" w14:textId="46385C63" w:rsidR="0044536B" w:rsidRPr="00F12FD4" w:rsidRDefault="00AA5E9A" w:rsidP="009014F2">
      <w:pPr>
        <w:ind w:left="1980"/>
        <w:jc w:val="both"/>
        <w:rPr>
          <w:color w:val="000000" w:themeColor="text1"/>
        </w:rPr>
      </w:pPr>
      <w:r w:rsidRPr="0048312C">
        <w:rPr>
          <w:color w:val="000000" w:themeColor="text1"/>
        </w:rPr>
        <w:t xml:space="preserve">In 2020 is het Regionaal Archief Zuid-Utrecht (RAZU) in samenwerking met zijn gemeenten gestart </w:t>
      </w:r>
      <w:r w:rsidR="00891A02" w:rsidRPr="0048312C">
        <w:rPr>
          <w:color w:val="000000" w:themeColor="text1"/>
        </w:rPr>
        <w:t>met een tweejarige</w:t>
      </w:r>
      <w:r w:rsidRPr="0048312C">
        <w:rPr>
          <w:color w:val="000000" w:themeColor="text1"/>
        </w:rPr>
        <w:t xml:space="preserve"> pilot e-depot. Aan de basis van d</w:t>
      </w:r>
      <w:r w:rsidR="0076615D" w:rsidRPr="0048312C">
        <w:rPr>
          <w:color w:val="000000" w:themeColor="text1"/>
        </w:rPr>
        <w:t xml:space="preserve">it project </w:t>
      </w:r>
      <w:r w:rsidRPr="0048312C">
        <w:rPr>
          <w:color w:val="000000" w:themeColor="text1"/>
        </w:rPr>
        <w:t>lag een marktverkenning naar de versch</w:t>
      </w:r>
      <w:r w:rsidRPr="00F12FD4">
        <w:rPr>
          <w:color w:val="000000" w:themeColor="text1"/>
        </w:rPr>
        <w:t xml:space="preserve">illende e-depots in het land, uitgevoerd door het RAZU in het eerste deel van het jaar 2019. </w:t>
      </w:r>
      <w:r w:rsidR="003136AD" w:rsidRPr="00F12FD4">
        <w:rPr>
          <w:color w:val="000000" w:themeColor="text1"/>
        </w:rPr>
        <w:t>Vooraf is i</w:t>
      </w:r>
      <w:r w:rsidR="007A330D" w:rsidRPr="00F12FD4">
        <w:rPr>
          <w:color w:val="000000" w:themeColor="text1"/>
        </w:rPr>
        <w:t>n een</w:t>
      </w:r>
      <w:r w:rsidRPr="00F12FD4">
        <w:rPr>
          <w:color w:val="000000" w:themeColor="text1"/>
        </w:rPr>
        <w:t xml:space="preserve"> projectinitiatiedocument (PID)</w:t>
      </w:r>
      <w:r w:rsidR="00706554" w:rsidRPr="00F12FD4">
        <w:rPr>
          <w:color w:val="000000" w:themeColor="text1"/>
        </w:rPr>
        <w:t xml:space="preserve"> </w:t>
      </w:r>
      <w:r w:rsidR="003136AD" w:rsidRPr="00F12FD4">
        <w:rPr>
          <w:color w:val="000000" w:themeColor="text1"/>
        </w:rPr>
        <w:t>de opbouw van de pilot, met bijbehorende doelen, uitvoerig beschreven</w:t>
      </w:r>
      <w:r w:rsidRPr="00F12FD4">
        <w:rPr>
          <w:color w:val="000000" w:themeColor="text1"/>
        </w:rPr>
        <w:t xml:space="preserve">. </w:t>
      </w:r>
      <w:r w:rsidR="0021053A" w:rsidRPr="00F12FD4">
        <w:rPr>
          <w:color w:val="000000" w:themeColor="text1"/>
        </w:rPr>
        <w:t>D</w:t>
      </w:r>
      <w:r w:rsidRPr="00F12FD4">
        <w:rPr>
          <w:color w:val="000000" w:themeColor="text1"/>
        </w:rPr>
        <w:t>e pilot</w:t>
      </w:r>
      <w:r w:rsidR="0021053A" w:rsidRPr="00F12FD4">
        <w:rPr>
          <w:color w:val="000000" w:themeColor="text1"/>
        </w:rPr>
        <w:t xml:space="preserve"> is</w:t>
      </w:r>
      <w:r w:rsidRPr="00F12FD4">
        <w:rPr>
          <w:color w:val="000000" w:themeColor="text1"/>
        </w:rPr>
        <w:t xml:space="preserve"> opgedeeld in </w:t>
      </w:r>
      <w:r w:rsidR="00C10C83" w:rsidRPr="00F12FD4">
        <w:rPr>
          <w:color w:val="000000" w:themeColor="text1"/>
        </w:rPr>
        <w:t>drie</w:t>
      </w:r>
      <w:r w:rsidRPr="00F12FD4">
        <w:rPr>
          <w:color w:val="000000" w:themeColor="text1"/>
        </w:rPr>
        <w:t xml:space="preserve"> fasen</w:t>
      </w:r>
      <w:r w:rsidR="00C10C83" w:rsidRPr="00F12FD4">
        <w:rPr>
          <w:color w:val="000000" w:themeColor="text1"/>
        </w:rPr>
        <w:t xml:space="preserve">, de eerste en tweede zijn uitgevoerd in 2020, de derde </w:t>
      </w:r>
      <w:r w:rsidR="00FC4275" w:rsidRPr="00F12FD4">
        <w:rPr>
          <w:color w:val="000000" w:themeColor="text1"/>
        </w:rPr>
        <w:t>is aan bod in 2021.</w:t>
      </w:r>
      <w:r w:rsidR="00C10C83" w:rsidRPr="00F12FD4">
        <w:rPr>
          <w:color w:val="000000" w:themeColor="text1"/>
        </w:rPr>
        <w:t xml:space="preserve"> </w:t>
      </w:r>
      <w:r w:rsidRPr="00F12FD4">
        <w:rPr>
          <w:color w:val="000000" w:themeColor="text1"/>
        </w:rPr>
        <w:t xml:space="preserve"> </w:t>
      </w:r>
      <w:r w:rsidR="00FC4275" w:rsidRPr="00F12FD4">
        <w:rPr>
          <w:color w:val="000000" w:themeColor="text1"/>
        </w:rPr>
        <w:t xml:space="preserve">In </w:t>
      </w:r>
      <w:r w:rsidR="005341C0" w:rsidRPr="00F12FD4">
        <w:rPr>
          <w:color w:val="000000" w:themeColor="text1"/>
        </w:rPr>
        <w:t>het</w:t>
      </w:r>
      <w:r w:rsidR="00FC4275" w:rsidRPr="00F12FD4">
        <w:rPr>
          <w:color w:val="000000" w:themeColor="text1"/>
        </w:rPr>
        <w:t xml:space="preserve"> PID is</w:t>
      </w:r>
      <w:r w:rsidRPr="00F12FD4">
        <w:rPr>
          <w:color w:val="000000" w:themeColor="text1"/>
        </w:rPr>
        <w:t xml:space="preserve"> uiteengezet dat het doel niet is om in twee jaar een volledig</w:t>
      </w:r>
      <w:r w:rsidR="00FC4275" w:rsidRPr="00F12FD4">
        <w:rPr>
          <w:color w:val="000000" w:themeColor="text1"/>
        </w:rPr>
        <w:t xml:space="preserve"> functioneel</w:t>
      </w:r>
      <w:r w:rsidRPr="00F12FD4">
        <w:rPr>
          <w:color w:val="000000" w:themeColor="text1"/>
        </w:rPr>
        <w:t xml:space="preserve"> e-depot op te zetten, maar </w:t>
      </w:r>
      <w:r w:rsidR="00FC4275" w:rsidRPr="00F12FD4">
        <w:rPr>
          <w:color w:val="000000" w:themeColor="text1"/>
        </w:rPr>
        <w:t>om</w:t>
      </w:r>
      <w:r w:rsidRPr="00F12FD4">
        <w:rPr>
          <w:color w:val="000000" w:themeColor="text1"/>
        </w:rPr>
        <w:t xml:space="preserve"> voldoende kennis </w:t>
      </w:r>
      <w:r w:rsidR="00FC4275" w:rsidRPr="00F12FD4">
        <w:rPr>
          <w:color w:val="000000" w:themeColor="text1"/>
        </w:rPr>
        <w:t>op te doen en</w:t>
      </w:r>
      <w:r w:rsidR="00097238" w:rsidRPr="00F12FD4">
        <w:rPr>
          <w:color w:val="000000" w:themeColor="text1"/>
        </w:rPr>
        <w:t xml:space="preserve"> </w:t>
      </w:r>
      <w:r w:rsidRPr="00F12FD4">
        <w:rPr>
          <w:color w:val="000000" w:themeColor="text1"/>
        </w:rPr>
        <w:t xml:space="preserve">verschillende </w:t>
      </w:r>
      <w:r w:rsidR="00097238" w:rsidRPr="00F12FD4">
        <w:rPr>
          <w:color w:val="000000" w:themeColor="text1"/>
        </w:rPr>
        <w:t xml:space="preserve">inhoudelijke stukken </w:t>
      </w:r>
      <w:r w:rsidRPr="00F12FD4">
        <w:rPr>
          <w:color w:val="000000" w:themeColor="text1"/>
        </w:rPr>
        <w:t xml:space="preserve">op te leveren. </w:t>
      </w:r>
      <w:r w:rsidR="00097238" w:rsidRPr="00F12FD4">
        <w:rPr>
          <w:color w:val="000000" w:themeColor="text1"/>
        </w:rPr>
        <w:t>Zo komen er</w:t>
      </w:r>
      <w:r w:rsidRPr="00F12FD4">
        <w:rPr>
          <w:color w:val="000000" w:themeColor="text1"/>
        </w:rPr>
        <w:t xml:space="preserve"> adviesrapporten voor de gemeenten, een lijst van eisen en wensen voor een toekomstige aanbesteding en een toekomstvisie</w:t>
      </w:r>
      <w:r w:rsidR="00F41375" w:rsidRPr="00F12FD4">
        <w:rPr>
          <w:color w:val="000000" w:themeColor="text1"/>
        </w:rPr>
        <w:t xml:space="preserve"> voor de regionale samenwerking in relatie tot een e-depot</w:t>
      </w:r>
      <w:r w:rsidRPr="00F12FD4">
        <w:rPr>
          <w:color w:val="000000" w:themeColor="text1"/>
        </w:rPr>
        <w:t xml:space="preserve">. </w:t>
      </w:r>
    </w:p>
    <w:p w14:paraId="7D5537C8" w14:textId="486661BE" w:rsidR="00B17ABB" w:rsidRPr="00F12FD4" w:rsidRDefault="0044536B" w:rsidP="000173C1">
      <w:pPr>
        <w:ind w:left="1980"/>
        <w:jc w:val="both"/>
        <w:rPr>
          <w:color w:val="000000" w:themeColor="text1"/>
        </w:rPr>
      </w:pPr>
      <w:r w:rsidRPr="00F12FD4">
        <w:rPr>
          <w:color w:val="000000" w:themeColor="text1"/>
        </w:rPr>
        <w:t xml:space="preserve">Deze memo </w:t>
      </w:r>
      <w:r w:rsidR="009A429E" w:rsidRPr="00F12FD4">
        <w:rPr>
          <w:color w:val="000000" w:themeColor="text1"/>
        </w:rPr>
        <w:t>is op verzoek van het bestuur van het RAZU (dd. 16 december 2020) tot stand gekomen</w:t>
      </w:r>
      <w:r w:rsidR="00536561" w:rsidRPr="00F12FD4">
        <w:rPr>
          <w:color w:val="000000" w:themeColor="text1"/>
        </w:rPr>
        <w:t xml:space="preserve"> met als</w:t>
      </w:r>
      <w:r w:rsidR="009A429E" w:rsidRPr="00F12FD4">
        <w:rPr>
          <w:color w:val="000000" w:themeColor="text1"/>
        </w:rPr>
        <w:t xml:space="preserve"> </w:t>
      </w:r>
      <w:r w:rsidR="00474A14" w:rsidRPr="00F12FD4">
        <w:rPr>
          <w:color w:val="000000" w:themeColor="text1"/>
        </w:rPr>
        <w:t xml:space="preserve">doel </w:t>
      </w:r>
      <w:r w:rsidR="00536561" w:rsidRPr="00F12FD4">
        <w:rPr>
          <w:color w:val="000000" w:themeColor="text1"/>
        </w:rPr>
        <w:t>om het bestuur te informeren</w:t>
      </w:r>
      <w:r w:rsidR="009A429E" w:rsidRPr="00F12FD4">
        <w:rPr>
          <w:color w:val="000000" w:themeColor="text1"/>
        </w:rPr>
        <w:t xml:space="preserve"> over de huidige stand van zaken én om inhoudelijk in te gaan op de relatie tussen het VNG </w:t>
      </w:r>
      <w:r w:rsidR="00CB09BE" w:rsidRPr="00F12FD4">
        <w:rPr>
          <w:color w:val="000000" w:themeColor="text1"/>
        </w:rPr>
        <w:t>programma</w:t>
      </w:r>
      <w:r w:rsidR="009A429E" w:rsidRPr="00F12FD4">
        <w:rPr>
          <w:color w:val="000000" w:themeColor="text1"/>
        </w:rPr>
        <w:t xml:space="preserve"> Common </w:t>
      </w:r>
      <w:proofErr w:type="spellStart"/>
      <w:r w:rsidR="009A429E" w:rsidRPr="00F12FD4">
        <w:rPr>
          <w:color w:val="000000" w:themeColor="text1"/>
        </w:rPr>
        <w:t>Ground</w:t>
      </w:r>
      <w:proofErr w:type="spellEnd"/>
      <w:r w:rsidR="009A429E" w:rsidRPr="00F12FD4">
        <w:rPr>
          <w:color w:val="000000" w:themeColor="text1"/>
        </w:rPr>
        <w:t xml:space="preserve"> en </w:t>
      </w:r>
      <w:r w:rsidR="000173C1" w:rsidRPr="00F12FD4">
        <w:rPr>
          <w:color w:val="000000" w:themeColor="text1"/>
        </w:rPr>
        <w:t>het RAZU e-depot project.</w:t>
      </w:r>
      <w:r w:rsidR="00FE2381" w:rsidRPr="00F12FD4">
        <w:rPr>
          <w:color w:val="000000" w:themeColor="text1"/>
        </w:rPr>
        <w:t xml:space="preserve"> D</w:t>
      </w:r>
      <w:r w:rsidR="00B738A9" w:rsidRPr="00F12FD4">
        <w:rPr>
          <w:color w:val="000000" w:themeColor="text1"/>
        </w:rPr>
        <w:t xml:space="preserve">it tweede onderwerp </w:t>
      </w:r>
      <w:r w:rsidR="00474A14" w:rsidRPr="00F12FD4">
        <w:rPr>
          <w:color w:val="000000" w:themeColor="text1"/>
        </w:rPr>
        <w:t>is tevens</w:t>
      </w:r>
      <w:r w:rsidR="00B738A9" w:rsidRPr="00F12FD4">
        <w:rPr>
          <w:color w:val="000000" w:themeColor="text1"/>
        </w:rPr>
        <w:t xml:space="preserve"> </w:t>
      </w:r>
      <w:r w:rsidR="007344C4" w:rsidRPr="00F12FD4">
        <w:rPr>
          <w:color w:val="000000" w:themeColor="text1"/>
        </w:rPr>
        <w:t xml:space="preserve">een inhoudelijke reactie </w:t>
      </w:r>
      <w:r w:rsidR="00C12620" w:rsidRPr="00F12FD4">
        <w:rPr>
          <w:color w:val="000000" w:themeColor="text1"/>
        </w:rPr>
        <w:t>op</w:t>
      </w:r>
      <w:r w:rsidR="007344C4" w:rsidRPr="00F12FD4">
        <w:rPr>
          <w:color w:val="000000" w:themeColor="text1"/>
        </w:rPr>
        <w:t xml:space="preserve"> de </w:t>
      </w:r>
      <w:r w:rsidR="00474A14" w:rsidRPr="00F12FD4">
        <w:rPr>
          <w:color w:val="000000" w:themeColor="text1"/>
        </w:rPr>
        <w:t xml:space="preserve">zienswijze van de </w:t>
      </w:r>
      <w:r w:rsidR="007344C4" w:rsidRPr="00F12FD4">
        <w:rPr>
          <w:color w:val="000000" w:themeColor="text1"/>
        </w:rPr>
        <w:t>gemeenteraad van Utrechtse Heuvelrug</w:t>
      </w:r>
      <w:r w:rsidR="00474A14" w:rsidRPr="00F12FD4">
        <w:rPr>
          <w:color w:val="000000" w:themeColor="text1"/>
        </w:rPr>
        <w:t xml:space="preserve"> uit februari 2021 met het verzoek om</w:t>
      </w:r>
      <w:r w:rsidR="001C4236" w:rsidRPr="00F12FD4">
        <w:rPr>
          <w:color w:val="000000" w:themeColor="text1"/>
        </w:rPr>
        <w:t xml:space="preserve"> uit te gaan van de Common </w:t>
      </w:r>
      <w:proofErr w:type="spellStart"/>
      <w:r w:rsidR="001C4236" w:rsidRPr="00F12FD4">
        <w:rPr>
          <w:color w:val="000000" w:themeColor="text1"/>
        </w:rPr>
        <w:t>Ground</w:t>
      </w:r>
      <w:proofErr w:type="spellEnd"/>
      <w:r w:rsidR="001C4236" w:rsidRPr="00F12FD4">
        <w:rPr>
          <w:color w:val="000000" w:themeColor="text1"/>
        </w:rPr>
        <w:t xml:space="preserve"> principes bij de realisatie van een e-depot.</w:t>
      </w:r>
      <w:r w:rsidR="00E17331" w:rsidRPr="00F12FD4">
        <w:rPr>
          <w:color w:val="000000" w:themeColor="text1"/>
        </w:rPr>
        <w:t xml:space="preserve"> </w:t>
      </w:r>
    </w:p>
    <w:p w14:paraId="69B01EB4" w14:textId="0043C5B6" w:rsidR="001C4236" w:rsidRPr="00F12FD4" w:rsidRDefault="00EF3FFB" w:rsidP="000173C1">
      <w:pPr>
        <w:ind w:left="1980"/>
        <w:jc w:val="both"/>
        <w:rPr>
          <w:color w:val="000000" w:themeColor="text1"/>
        </w:rPr>
      </w:pPr>
      <w:r w:rsidRPr="00F12FD4">
        <w:rPr>
          <w:color w:val="000000" w:themeColor="text1"/>
        </w:rPr>
        <w:t xml:space="preserve">De memo heeft </w:t>
      </w:r>
      <w:r w:rsidR="00CB09BE" w:rsidRPr="00F12FD4">
        <w:rPr>
          <w:color w:val="000000" w:themeColor="text1"/>
        </w:rPr>
        <w:t>bewust</w:t>
      </w:r>
      <w:r w:rsidR="007B1A6D" w:rsidRPr="00F12FD4">
        <w:rPr>
          <w:color w:val="000000" w:themeColor="text1"/>
        </w:rPr>
        <w:t xml:space="preserve"> geen besluitvormende paragraaf. Besluitvorming </w:t>
      </w:r>
      <w:r w:rsidR="00C35140" w:rsidRPr="00F12FD4">
        <w:rPr>
          <w:color w:val="000000" w:themeColor="text1"/>
        </w:rPr>
        <w:t xml:space="preserve">en het tijdspad daartoe </w:t>
      </w:r>
      <w:r w:rsidR="00474A14" w:rsidRPr="00F12FD4">
        <w:rPr>
          <w:color w:val="000000" w:themeColor="text1"/>
        </w:rPr>
        <w:t xml:space="preserve">zijn </w:t>
      </w:r>
      <w:r w:rsidR="00C35140" w:rsidRPr="00F12FD4">
        <w:rPr>
          <w:color w:val="000000" w:themeColor="text1"/>
        </w:rPr>
        <w:t xml:space="preserve">in </w:t>
      </w:r>
      <w:r w:rsidR="00DA537D" w:rsidRPr="00F12FD4">
        <w:rPr>
          <w:color w:val="000000" w:themeColor="text1"/>
        </w:rPr>
        <w:t>het</w:t>
      </w:r>
      <w:r w:rsidR="00C35140" w:rsidRPr="00F12FD4">
        <w:rPr>
          <w:color w:val="000000" w:themeColor="text1"/>
        </w:rPr>
        <w:t xml:space="preserve"> PID beschreven</w:t>
      </w:r>
      <w:r w:rsidR="00DA537D" w:rsidRPr="00F12FD4">
        <w:rPr>
          <w:color w:val="000000" w:themeColor="text1"/>
        </w:rPr>
        <w:t>. Gedurende 2021 z</w:t>
      </w:r>
      <w:r w:rsidR="004F3453" w:rsidRPr="00F12FD4">
        <w:rPr>
          <w:color w:val="000000" w:themeColor="text1"/>
        </w:rPr>
        <w:t>ullen</w:t>
      </w:r>
      <w:r w:rsidR="00DA537D" w:rsidRPr="00F12FD4">
        <w:rPr>
          <w:color w:val="000000" w:themeColor="text1"/>
        </w:rPr>
        <w:t xml:space="preserve"> </w:t>
      </w:r>
      <w:r w:rsidR="00F47BDF" w:rsidRPr="00F12FD4">
        <w:rPr>
          <w:color w:val="000000" w:themeColor="text1"/>
        </w:rPr>
        <w:t>eerst</w:t>
      </w:r>
      <w:r w:rsidR="00C35140" w:rsidRPr="00F12FD4">
        <w:rPr>
          <w:color w:val="000000" w:themeColor="text1"/>
        </w:rPr>
        <w:t xml:space="preserve"> de regiegroep,</w:t>
      </w:r>
      <w:r w:rsidR="00F47BDF" w:rsidRPr="00F12FD4">
        <w:rPr>
          <w:color w:val="000000" w:themeColor="text1"/>
        </w:rPr>
        <w:t xml:space="preserve"> daarna de gemeenten in</w:t>
      </w:r>
      <w:r w:rsidR="00C35140" w:rsidRPr="00F12FD4">
        <w:rPr>
          <w:color w:val="000000" w:themeColor="text1"/>
        </w:rPr>
        <w:t xml:space="preserve"> de evaluatie in oktober en </w:t>
      </w:r>
      <w:r w:rsidR="00F47BDF" w:rsidRPr="00F12FD4">
        <w:rPr>
          <w:color w:val="000000" w:themeColor="text1"/>
        </w:rPr>
        <w:t xml:space="preserve">tot slot het bestuur in </w:t>
      </w:r>
      <w:r w:rsidR="00C35140" w:rsidRPr="00F12FD4">
        <w:rPr>
          <w:color w:val="000000" w:themeColor="text1"/>
        </w:rPr>
        <w:t>de decembervergadering 2021</w:t>
      </w:r>
      <w:r w:rsidR="004F3453" w:rsidRPr="00F12FD4">
        <w:rPr>
          <w:color w:val="000000" w:themeColor="text1"/>
        </w:rPr>
        <w:t xml:space="preserve"> de (deel)besluiten gaan nemen </w:t>
      </w:r>
      <w:r w:rsidR="00474A14" w:rsidRPr="00F12FD4">
        <w:rPr>
          <w:color w:val="000000" w:themeColor="text1"/>
        </w:rPr>
        <w:t>op basis waarvan de</w:t>
      </w:r>
      <w:r w:rsidR="004F3453" w:rsidRPr="00F12FD4">
        <w:rPr>
          <w:color w:val="000000" w:themeColor="text1"/>
        </w:rPr>
        <w:t xml:space="preserve"> </w:t>
      </w:r>
      <w:r w:rsidR="00E558C4" w:rsidRPr="00F12FD4">
        <w:rPr>
          <w:color w:val="000000" w:themeColor="text1"/>
        </w:rPr>
        <w:t>richting voor de komende jaren zal worden bepaald</w:t>
      </w:r>
      <w:r w:rsidR="00C35140" w:rsidRPr="00F12FD4">
        <w:rPr>
          <w:color w:val="000000" w:themeColor="text1"/>
        </w:rPr>
        <w:t xml:space="preserve">. </w:t>
      </w:r>
    </w:p>
    <w:p w14:paraId="70DBD881" w14:textId="430493E2" w:rsidR="00FF2674" w:rsidRPr="00F12FD4" w:rsidRDefault="000173C1">
      <w:pPr>
        <w:ind w:left="1980"/>
        <w:jc w:val="both"/>
        <w:rPr>
          <w:color w:val="000000" w:themeColor="text1"/>
        </w:rPr>
      </w:pPr>
      <w:r w:rsidRPr="00F12FD4">
        <w:rPr>
          <w:color w:val="000000" w:themeColor="text1"/>
        </w:rPr>
        <w:t>De memo start (1) met</w:t>
      </w:r>
      <w:r w:rsidR="00AA5E9A" w:rsidRPr="00F12FD4">
        <w:rPr>
          <w:color w:val="000000" w:themeColor="text1"/>
        </w:rPr>
        <w:t xml:space="preserve"> een korte samenvatting van de voortgang van de eerste fasen</w:t>
      </w:r>
      <w:r w:rsidRPr="00F12FD4">
        <w:rPr>
          <w:color w:val="000000" w:themeColor="text1"/>
        </w:rPr>
        <w:t xml:space="preserve"> en</w:t>
      </w:r>
      <w:r w:rsidR="00AA5E9A" w:rsidRPr="00F12FD4">
        <w:rPr>
          <w:color w:val="000000" w:themeColor="text1"/>
        </w:rPr>
        <w:t xml:space="preserve"> een vooruitblik</w:t>
      </w:r>
      <w:r w:rsidRPr="00F12FD4">
        <w:rPr>
          <w:color w:val="000000" w:themeColor="text1"/>
        </w:rPr>
        <w:t xml:space="preserve"> (2)</w:t>
      </w:r>
      <w:r w:rsidR="00AA5E9A" w:rsidRPr="00F12FD4">
        <w:rPr>
          <w:color w:val="000000" w:themeColor="text1"/>
        </w:rPr>
        <w:t xml:space="preserve"> naar de derde. </w:t>
      </w:r>
      <w:r w:rsidRPr="00F12FD4">
        <w:rPr>
          <w:color w:val="000000" w:themeColor="text1"/>
        </w:rPr>
        <w:t xml:space="preserve">Daarna </w:t>
      </w:r>
      <w:r w:rsidR="00794837" w:rsidRPr="00F12FD4">
        <w:rPr>
          <w:color w:val="000000" w:themeColor="text1"/>
        </w:rPr>
        <w:t xml:space="preserve">bespreekt de memo Common </w:t>
      </w:r>
      <w:proofErr w:type="spellStart"/>
      <w:r w:rsidR="00794837" w:rsidRPr="00F12FD4">
        <w:rPr>
          <w:color w:val="000000" w:themeColor="text1"/>
        </w:rPr>
        <w:t>Ground</w:t>
      </w:r>
      <w:proofErr w:type="spellEnd"/>
      <w:r w:rsidR="00794837" w:rsidRPr="00F12FD4">
        <w:rPr>
          <w:color w:val="000000" w:themeColor="text1"/>
        </w:rPr>
        <w:t xml:space="preserve">, eerst in het algemeen (3), vervolgens in relatie tot het Open </w:t>
      </w:r>
      <w:proofErr w:type="spellStart"/>
      <w:r w:rsidR="00794837" w:rsidRPr="00F12FD4">
        <w:rPr>
          <w:color w:val="000000" w:themeColor="text1"/>
        </w:rPr>
        <w:t>Archival</w:t>
      </w:r>
      <w:proofErr w:type="spellEnd"/>
      <w:r w:rsidR="00794837" w:rsidRPr="00F12FD4">
        <w:rPr>
          <w:color w:val="000000" w:themeColor="text1"/>
        </w:rPr>
        <w:t xml:space="preserve"> Information System-model (4) en tot slot in relatie </w:t>
      </w:r>
      <w:r w:rsidR="00D2715B" w:rsidRPr="00F12FD4">
        <w:rPr>
          <w:color w:val="000000" w:themeColor="text1"/>
        </w:rPr>
        <w:t>de pilot e-depot (5). De memo sluit af met een korte vooruitblik</w:t>
      </w:r>
      <w:r w:rsidR="00D11E64" w:rsidRPr="00F12FD4">
        <w:rPr>
          <w:color w:val="000000" w:themeColor="text1"/>
        </w:rPr>
        <w:t xml:space="preserve">. </w:t>
      </w:r>
    </w:p>
    <w:p w14:paraId="42B75915" w14:textId="77777777" w:rsidR="0048312C" w:rsidRPr="00F12FD4" w:rsidRDefault="0048312C">
      <w:pPr>
        <w:ind w:left="1980"/>
        <w:jc w:val="both"/>
        <w:rPr>
          <w:color w:val="000000" w:themeColor="text1"/>
        </w:rPr>
      </w:pPr>
    </w:p>
    <w:p w14:paraId="5B7C449B" w14:textId="235A2E6B" w:rsidR="00A82776" w:rsidRPr="00F12FD4" w:rsidRDefault="00A82776" w:rsidP="0048312C">
      <w:pPr>
        <w:pStyle w:val="Lijstalinea"/>
        <w:numPr>
          <w:ilvl w:val="0"/>
          <w:numId w:val="12"/>
        </w:numPr>
        <w:jc w:val="both"/>
        <w:rPr>
          <w:b/>
          <w:bCs/>
          <w:color w:val="6C5A82"/>
          <w:sz w:val="28"/>
          <w:szCs w:val="28"/>
        </w:rPr>
      </w:pPr>
      <w:r w:rsidRPr="00F12FD4">
        <w:rPr>
          <w:b/>
          <w:bCs/>
          <w:color w:val="6C5A82"/>
          <w:sz w:val="28"/>
          <w:szCs w:val="28"/>
        </w:rPr>
        <w:t>Fase 1 en 2</w:t>
      </w:r>
    </w:p>
    <w:p w14:paraId="53708BA5" w14:textId="32704DAB" w:rsidR="00765F27" w:rsidRPr="00F12FD4" w:rsidRDefault="001F2CFD" w:rsidP="009014F2">
      <w:pPr>
        <w:ind w:left="1980"/>
        <w:jc w:val="both"/>
        <w:rPr>
          <w:color w:val="000000" w:themeColor="text1"/>
        </w:rPr>
      </w:pPr>
      <w:r w:rsidRPr="00F12FD4">
        <w:rPr>
          <w:color w:val="000000" w:themeColor="text1"/>
        </w:rPr>
        <w:t xml:space="preserve">De eerste twee fasen hadden als hoofddoel inhoudelijke ervaring op te doen met het e-depot. </w:t>
      </w:r>
      <w:r w:rsidR="00FB452B" w:rsidRPr="00F12FD4">
        <w:rPr>
          <w:color w:val="000000" w:themeColor="text1"/>
        </w:rPr>
        <w:t>Na de aanschaf van de e-depot module van De REE Archiefsystemen richtte d</w:t>
      </w:r>
      <w:r w:rsidRPr="00F12FD4">
        <w:rPr>
          <w:color w:val="000000" w:themeColor="text1"/>
        </w:rPr>
        <w:t>e eerste fase zich op het opnemen van zaakdossier</w:t>
      </w:r>
      <w:r w:rsidR="00417F97" w:rsidRPr="00F12FD4">
        <w:rPr>
          <w:color w:val="000000" w:themeColor="text1"/>
        </w:rPr>
        <w:t>s. In d</w:t>
      </w:r>
      <w:r w:rsidRPr="00F12FD4">
        <w:rPr>
          <w:color w:val="000000" w:themeColor="text1"/>
        </w:rPr>
        <w:t>e tweede fase</w:t>
      </w:r>
      <w:r w:rsidR="00417F97" w:rsidRPr="00F12FD4">
        <w:rPr>
          <w:color w:val="000000" w:themeColor="text1"/>
        </w:rPr>
        <w:t xml:space="preserve"> werd gewerkt aan</w:t>
      </w:r>
      <w:r w:rsidRPr="00F12FD4">
        <w:rPr>
          <w:color w:val="000000" w:themeColor="text1"/>
        </w:rPr>
        <w:t xml:space="preserve"> het opnemen van gedigitaliseerde bouwvergunning</w:t>
      </w:r>
      <w:r w:rsidR="00417F97" w:rsidRPr="00F12FD4">
        <w:rPr>
          <w:color w:val="000000" w:themeColor="text1"/>
        </w:rPr>
        <w:t>en</w:t>
      </w:r>
      <w:r w:rsidRPr="00F12FD4">
        <w:rPr>
          <w:color w:val="000000" w:themeColor="text1"/>
        </w:rPr>
        <w:t>. Al snel bleken de technische mogelijkheden van het e-depot</w:t>
      </w:r>
      <w:r w:rsidR="00651FB7" w:rsidRPr="00F12FD4">
        <w:rPr>
          <w:color w:val="000000" w:themeColor="text1"/>
        </w:rPr>
        <w:t xml:space="preserve"> </w:t>
      </w:r>
      <w:r w:rsidRPr="00F12FD4">
        <w:rPr>
          <w:color w:val="000000" w:themeColor="text1"/>
        </w:rPr>
        <w:t xml:space="preserve">niet aan te sluiten bij de verwachtingen. Ook de gebruiksvriendelijkheid van het systeem liet, helaas, te wensen over. Hoewel het </w:t>
      </w:r>
      <w:r w:rsidR="00651FB7" w:rsidRPr="00F12FD4">
        <w:rPr>
          <w:color w:val="000000" w:themeColor="text1"/>
        </w:rPr>
        <w:t xml:space="preserve">opname </w:t>
      </w:r>
      <w:r w:rsidRPr="00F12FD4">
        <w:rPr>
          <w:color w:val="000000" w:themeColor="text1"/>
        </w:rPr>
        <w:t xml:space="preserve">proces grotendeels succesvol is doorlopen, is het eindresultaat nog niet naar tevredenheid. Mede </w:t>
      </w:r>
      <w:r w:rsidR="00651FB7" w:rsidRPr="00F12FD4">
        <w:rPr>
          <w:color w:val="000000" w:themeColor="text1"/>
        </w:rPr>
        <w:t>hierdoor</w:t>
      </w:r>
      <w:r w:rsidRPr="00F12FD4">
        <w:rPr>
          <w:color w:val="000000" w:themeColor="text1"/>
        </w:rPr>
        <w:t xml:space="preserve"> werd de focus tijdens de eerste fase verlegd naar </w:t>
      </w:r>
      <w:r w:rsidR="00474A14" w:rsidRPr="00F12FD4">
        <w:rPr>
          <w:color w:val="000000" w:themeColor="text1"/>
        </w:rPr>
        <w:t xml:space="preserve">meer </w:t>
      </w:r>
      <w:r w:rsidRPr="00F12FD4">
        <w:rPr>
          <w:color w:val="000000" w:themeColor="text1"/>
        </w:rPr>
        <w:t xml:space="preserve">fundamentele vraagstukken. </w:t>
      </w:r>
      <w:r w:rsidR="00873E5C" w:rsidRPr="00F12FD4">
        <w:rPr>
          <w:color w:val="000000" w:themeColor="text1"/>
        </w:rPr>
        <w:t xml:space="preserve">Zo bleek er geen eenduidig beeld te zijn over wat </w:t>
      </w:r>
      <w:r w:rsidRPr="00F12FD4">
        <w:rPr>
          <w:color w:val="000000" w:themeColor="text1"/>
        </w:rPr>
        <w:t>een authentiek dossier</w:t>
      </w:r>
      <w:r w:rsidR="00873E5C" w:rsidRPr="00F12FD4">
        <w:rPr>
          <w:color w:val="000000" w:themeColor="text1"/>
        </w:rPr>
        <w:t xml:space="preserve"> omvat. Ook was het lastig aan te geven welke persoonsgegevens in dossiers zijn opgenomen en </w:t>
      </w:r>
      <w:r w:rsidR="00E10A51" w:rsidRPr="00F12FD4">
        <w:rPr>
          <w:color w:val="000000" w:themeColor="text1"/>
        </w:rPr>
        <w:t>hoe persoonsgegevens adequaat afgeschermd kunnen worden.</w:t>
      </w:r>
      <w:r w:rsidR="00F52248" w:rsidRPr="00F12FD4">
        <w:rPr>
          <w:color w:val="000000" w:themeColor="text1"/>
        </w:rPr>
        <w:t xml:space="preserve"> Tot slot </w:t>
      </w:r>
      <w:r w:rsidR="00F52248" w:rsidRPr="00F12FD4">
        <w:rPr>
          <w:color w:val="000000" w:themeColor="text1"/>
        </w:rPr>
        <w:lastRenderedPageBreak/>
        <w:t xml:space="preserve">bleek er onvoldoende zicht op de verschillende soorten digitale archieven bij onze deelnemers. </w:t>
      </w:r>
      <w:r w:rsidRPr="00F12FD4">
        <w:rPr>
          <w:color w:val="000000" w:themeColor="text1"/>
        </w:rPr>
        <w:t>De</w:t>
      </w:r>
      <w:r w:rsidR="00F52248" w:rsidRPr="00F12FD4">
        <w:rPr>
          <w:color w:val="000000" w:themeColor="text1"/>
        </w:rPr>
        <w:t>rgelijke</w:t>
      </w:r>
      <w:r w:rsidRPr="00F12FD4">
        <w:rPr>
          <w:color w:val="000000" w:themeColor="text1"/>
        </w:rPr>
        <w:t xml:space="preserve"> vraagstukken </w:t>
      </w:r>
      <w:r w:rsidR="004A4A9F" w:rsidRPr="00F12FD4">
        <w:rPr>
          <w:color w:val="000000" w:themeColor="text1"/>
        </w:rPr>
        <w:t xml:space="preserve">stonden </w:t>
      </w:r>
      <w:r w:rsidRPr="00F12FD4">
        <w:rPr>
          <w:color w:val="000000" w:themeColor="text1"/>
        </w:rPr>
        <w:t xml:space="preserve">in het PID aanvankelijk minder </w:t>
      </w:r>
      <w:r w:rsidR="004A4A9F" w:rsidRPr="00F12FD4">
        <w:rPr>
          <w:color w:val="000000" w:themeColor="text1"/>
        </w:rPr>
        <w:t>centraal</w:t>
      </w:r>
      <w:r w:rsidRPr="00F12FD4">
        <w:rPr>
          <w:color w:val="000000" w:themeColor="text1"/>
        </w:rPr>
        <w:t>, maar zijn van fundamenteel belang voor het uitwerken van de verschillende einddoelen. Daarom zijn fase 1 en 2, ondanks de verschuiving van de focus, toch succesvol bevonden. De eindrapporten van deze twee fasen zijn bijgevoegd als bijlage van deze memo.</w:t>
      </w:r>
    </w:p>
    <w:p w14:paraId="3E4761F3" w14:textId="77777777" w:rsidR="0048312C" w:rsidRPr="00F12FD4" w:rsidRDefault="0048312C" w:rsidP="009014F2">
      <w:pPr>
        <w:ind w:left="1980"/>
        <w:jc w:val="both"/>
        <w:rPr>
          <w:color w:val="000000" w:themeColor="text1"/>
        </w:rPr>
      </w:pPr>
    </w:p>
    <w:p w14:paraId="629B4DCE" w14:textId="06482935" w:rsidR="007735E6" w:rsidRPr="00F12FD4" w:rsidRDefault="007735E6" w:rsidP="0048312C">
      <w:pPr>
        <w:pStyle w:val="Lijstalinea"/>
        <w:numPr>
          <w:ilvl w:val="0"/>
          <w:numId w:val="12"/>
        </w:numPr>
        <w:jc w:val="both"/>
        <w:rPr>
          <w:b/>
          <w:bCs/>
          <w:color w:val="6C5A82"/>
          <w:sz w:val="28"/>
          <w:szCs w:val="28"/>
        </w:rPr>
      </w:pPr>
      <w:r w:rsidRPr="00F12FD4">
        <w:rPr>
          <w:b/>
          <w:bCs/>
          <w:color w:val="6C5A82"/>
          <w:sz w:val="28"/>
          <w:szCs w:val="28"/>
        </w:rPr>
        <w:t>Fase 3</w:t>
      </w:r>
    </w:p>
    <w:p w14:paraId="23550A38" w14:textId="73FF6B90" w:rsidR="001236B8" w:rsidRPr="00F12FD4" w:rsidRDefault="007735E6" w:rsidP="00043DBE">
      <w:pPr>
        <w:ind w:left="1980"/>
        <w:jc w:val="both"/>
        <w:rPr>
          <w:color w:val="000000" w:themeColor="text1"/>
        </w:rPr>
      </w:pPr>
      <w:r w:rsidRPr="00F12FD4">
        <w:rPr>
          <w:color w:val="000000" w:themeColor="text1"/>
        </w:rPr>
        <w:t>De derde fase heeft als hoofddoel een helder beeld te schetsen van de nog te nemen stappen in de realisatie van een e-depot</w:t>
      </w:r>
      <w:r w:rsidR="00D62A2C" w:rsidRPr="00F12FD4">
        <w:rPr>
          <w:color w:val="000000" w:themeColor="text1"/>
        </w:rPr>
        <w:t>, zowel voor het RAZU als de aangesloten gemeenten</w:t>
      </w:r>
      <w:r w:rsidRPr="00F12FD4">
        <w:rPr>
          <w:color w:val="000000" w:themeColor="text1"/>
        </w:rPr>
        <w:t>. Om dit te bereiken heeft de projectgroep aan het begin van de derde fase aan de regiegroep een wijziging van de gestelde doelen in het PID voorgesteld. Doelen die gericht waren op concre</w:t>
      </w:r>
      <w:r w:rsidR="005C11B5" w:rsidRPr="00F12FD4">
        <w:rPr>
          <w:color w:val="000000" w:themeColor="text1"/>
        </w:rPr>
        <w:t>te</w:t>
      </w:r>
      <w:r w:rsidRPr="00F12FD4">
        <w:rPr>
          <w:color w:val="000000" w:themeColor="text1"/>
        </w:rPr>
        <w:t xml:space="preserve"> technisch</w:t>
      </w:r>
      <w:r w:rsidR="005C11B5" w:rsidRPr="00F12FD4">
        <w:rPr>
          <w:color w:val="000000" w:themeColor="text1"/>
        </w:rPr>
        <w:t>e</w:t>
      </w:r>
      <w:r w:rsidRPr="00F12FD4">
        <w:rPr>
          <w:color w:val="000000" w:themeColor="text1"/>
        </w:rPr>
        <w:t xml:space="preserve"> oploss</w:t>
      </w:r>
      <w:r w:rsidR="005C11B5" w:rsidRPr="00F12FD4">
        <w:rPr>
          <w:color w:val="000000" w:themeColor="text1"/>
        </w:rPr>
        <w:t>ingen</w:t>
      </w:r>
      <w:r w:rsidRPr="00F12FD4">
        <w:rPr>
          <w:color w:val="000000" w:themeColor="text1"/>
        </w:rPr>
        <w:t xml:space="preserve"> zijn in dit voorstel</w:t>
      </w:r>
      <w:r w:rsidR="005C11B5" w:rsidRPr="00F12FD4">
        <w:rPr>
          <w:color w:val="000000" w:themeColor="text1"/>
        </w:rPr>
        <w:t xml:space="preserve"> komen te</w:t>
      </w:r>
      <w:r w:rsidRPr="00F12FD4">
        <w:rPr>
          <w:color w:val="000000" w:themeColor="text1"/>
        </w:rPr>
        <w:t xml:space="preserve"> vervallen. </w:t>
      </w:r>
      <w:r w:rsidR="008A36DB" w:rsidRPr="00F12FD4">
        <w:rPr>
          <w:color w:val="000000" w:themeColor="text1"/>
        </w:rPr>
        <w:t xml:space="preserve">Hierdoor zal </w:t>
      </w:r>
      <w:r w:rsidRPr="00F12FD4">
        <w:rPr>
          <w:color w:val="000000" w:themeColor="text1"/>
        </w:rPr>
        <w:t>de</w:t>
      </w:r>
      <w:r w:rsidR="008A36DB" w:rsidRPr="00F12FD4">
        <w:rPr>
          <w:color w:val="000000" w:themeColor="text1"/>
        </w:rPr>
        <w:t xml:space="preserve"> in</w:t>
      </w:r>
      <w:r w:rsidRPr="00F12FD4">
        <w:rPr>
          <w:color w:val="000000" w:themeColor="text1"/>
        </w:rPr>
        <w:t xml:space="preserve"> </w:t>
      </w:r>
      <w:r w:rsidR="008A36DB" w:rsidRPr="00F12FD4">
        <w:rPr>
          <w:color w:val="000000" w:themeColor="text1"/>
        </w:rPr>
        <w:t xml:space="preserve">de </w:t>
      </w:r>
      <w:r w:rsidRPr="00F12FD4">
        <w:rPr>
          <w:color w:val="000000" w:themeColor="text1"/>
        </w:rPr>
        <w:t xml:space="preserve">derde fase meer tijd </w:t>
      </w:r>
      <w:r w:rsidR="008A36DB" w:rsidRPr="00F12FD4">
        <w:rPr>
          <w:color w:val="000000" w:themeColor="text1"/>
        </w:rPr>
        <w:t>vrijgemaakt worden voor het beantwoorden en uitwerken van de</w:t>
      </w:r>
      <w:r w:rsidRPr="00F12FD4">
        <w:rPr>
          <w:color w:val="000000" w:themeColor="text1"/>
        </w:rPr>
        <w:t xml:space="preserve"> fundamentele vraagstukken</w:t>
      </w:r>
      <w:r w:rsidR="008A36DB" w:rsidRPr="00F12FD4">
        <w:rPr>
          <w:color w:val="000000" w:themeColor="text1"/>
        </w:rPr>
        <w:t xml:space="preserve">. Deze nieuwe focus staat het ook toe om </w:t>
      </w:r>
      <w:r w:rsidR="00407246" w:rsidRPr="00F12FD4">
        <w:rPr>
          <w:color w:val="000000" w:themeColor="text1"/>
        </w:rPr>
        <w:t>samen te werken</w:t>
      </w:r>
      <w:r w:rsidRPr="00F12FD4">
        <w:rPr>
          <w:color w:val="000000" w:themeColor="text1"/>
        </w:rPr>
        <w:t xml:space="preserve"> met alle </w:t>
      </w:r>
      <w:r w:rsidR="00D85A4C" w:rsidRPr="00F12FD4">
        <w:rPr>
          <w:color w:val="000000" w:themeColor="text1"/>
        </w:rPr>
        <w:t xml:space="preserve">zes </w:t>
      </w:r>
      <w:r w:rsidRPr="00F12FD4">
        <w:rPr>
          <w:color w:val="000000" w:themeColor="text1"/>
        </w:rPr>
        <w:t>gemeenten,</w:t>
      </w:r>
      <w:r w:rsidR="00407246" w:rsidRPr="00F12FD4">
        <w:rPr>
          <w:color w:val="000000" w:themeColor="text1"/>
        </w:rPr>
        <w:t xml:space="preserve"> naast de reeds bestaande samenwerking met de projectgroep,</w:t>
      </w:r>
      <w:r w:rsidRPr="00F12FD4">
        <w:rPr>
          <w:color w:val="000000" w:themeColor="text1"/>
        </w:rPr>
        <w:t xml:space="preserve"> de klankbordgroep en de regiegroep. Juist omdat </w:t>
      </w:r>
      <w:r w:rsidR="00D85A4C" w:rsidRPr="00F12FD4">
        <w:rPr>
          <w:color w:val="000000" w:themeColor="text1"/>
        </w:rPr>
        <w:t xml:space="preserve">uit </w:t>
      </w:r>
      <w:r w:rsidRPr="00F12FD4">
        <w:rPr>
          <w:color w:val="000000" w:themeColor="text1"/>
        </w:rPr>
        <w:t>fase</w:t>
      </w:r>
      <w:r w:rsidR="001E17F4" w:rsidRPr="00F12FD4">
        <w:rPr>
          <w:color w:val="000000" w:themeColor="text1"/>
        </w:rPr>
        <w:t>n</w:t>
      </w:r>
      <w:r w:rsidRPr="00F12FD4">
        <w:rPr>
          <w:color w:val="000000" w:themeColor="text1"/>
        </w:rPr>
        <w:t xml:space="preserve"> 1 en 2 </w:t>
      </w:r>
      <w:r w:rsidR="00D85A4C" w:rsidRPr="00F12FD4">
        <w:rPr>
          <w:color w:val="000000" w:themeColor="text1"/>
        </w:rPr>
        <w:t>bleek</w:t>
      </w:r>
      <w:r w:rsidRPr="00F12FD4">
        <w:rPr>
          <w:color w:val="000000" w:themeColor="text1"/>
        </w:rPr>
        <w:t xml:space="preserve"> dat het gemeentelijke informatielandschap erg divers is, wil de projectgroep hier meer aandacht aan besteden. Een advies voor de ontwikkeling van een e-depot aan het einde van de derde fase moet rekening houden met de huidige stand van zaken én</w:t>
      </w:r>
      <w:r w:rsidR="00D85A4C" w:rsidRPr="00F12FD4">
        <w:rPr>
          <w:color w:val="000000" w:themeColor="text1"/>
        </w:rPr>
        <w:t xml:space="preserve"> met</w:t>
      </w:r>
      <w:r w:rsidRPr="00F12FD4">
        <w:rPr>
          <w:color w:val="000000" w:themeColor="text1"/>
        </w:rPr>
        <w:t xml:space="preserve"> actuele ontwikkelingen. Een van deze ontwikkelingen is Common </w:t>
      </w:r>
      <w:proofErr w:type="spellStart"/>
      <w:r w:rsidRPr="00F12FD4">
        <w:rPr>
          <w:color w:val="000000" w:themeColor="text1"/>
        </w:rPr>
        <w:t>Ground</w:t>
      </w:r>
      <w:proofErr w:type="spellEnd"/>
      <w:r w:rsidR="00D85A4C" w:rsidRPr="00F12FD4">
        <w:rPr>
          <w:color w:val="000000" w:themeColor="text1"/>
        </w:rPr>
        <w:t>;</w:t>
      </w:r>
      <w:r w:rsidRPr="00F12FD4">
        <w:rPr>
          <w:color w:val="000000" w:themeColor="text1"/>
        </w:rPr>
        <w:t xml:space="preserve"> dit thema zal daarom ook in deze fase worden opgepakt.</w:t>
      </w:r>
      <w:r w:rsidR="0061456D" w:rsidRPr="00F12FD4">
        <w:rPr>
          <w:color w:val="000000" w:themeColor="text1"/>
        </w:rPr>
        <w:t xml:space="preserve"> </w:t>
      </w:r>
      <w:r w:rsidR="001236B8" w:rsidRPr="00F12FD4">
        <w:rPr>
          <w:color w:val="000000" w:themeColor="text1"/>
        </w:rPr>
        <w:t xml:space="preserve">Fase 3 sluit af met een </w:t>
      </w:r>
      <w:r w:rsidR="00A056C8" w:rsidRPr="00F12FD4">
        <w:rPr>
          <w:color w:val="000000" w:themeColor="text1"/>
        </w:rPr>
        <w:t xml:space="preserve">evaluatie samen met de gemeenten in oktober 2021, </w:t>
      </w:r>
      <w:r w:rsidR="00D85A4C" w:rsidRPr="00F12FD4">
        <w:rPr>
          <w:color w:val="000000" w:themeColor="text1"/>
        </w:rPr>
        <w:t xml:space="preserve">gevolgd door </w:t>
      </w:r>
      <w:r w:rsidR="00A056C8" w:rsidRPr="00F12FD4">
        <w:rPr>
          <w:color w:val="000000" w:themeColor="text1"/>
        </w:rPr>
        <w:t xml:space="preserve">een eindrapport en visiestuk in de decembervergadering van het bestuur. </w:t>
      </w:r>
    </w:p>
    <w:p w14:paraId="25090391" w14:textId="785DF5CE" w:rsidR="00805383" w:rsidRPr="00F12FD4" w:rsidRDefault="00B14313" w:rsidP="009014F2">
      <w:pPr>
        <w:ind w:left="1980"/>
        <w:jc w:val="both"/>
        <w:rPr>
          <w:color w:val="000000" w:themeColor="text1"/>
        </w:rPr>
      </w:pPr>
      <w:r w:rsidRPr="00F12FD4">
        <w:rPr>
          <w:color w:val="000000" w:themeColor="text1"/>
        </w:rPr>
        <w:t xml:space="preserve">Het resterende deel van deze memo zal ingaan op Common </w:t>
      </w:r>
      <w:proofErr w:type="spellStart"/>
      <w:r w:rsidRPr="00F12FD4">
        <w:rPr>
          <w:color w:val="000000" w:themeColor="text1"/>
        </w:rPr>
        <w:t>Ground</w:t>
      </w:r>
      <w:proofErr w:type="spellEnd"/>
      <w:r w:rsidRPr="00F12FD4">
        <w:rPr>
          <w:color w:val="000000" w:themeColor="text1"/>
        </w:rPr>
        <w:t xml:space="preserve">, hoe </w:t>
      </w:r>
      <w:r w:rsidR="00D85A4C" w:rsidRPr="00F12FD4">
        <w:rPr>
          <w:color w:val="000000" w:themeColor="text1"/>
        </w:rPr>
        <w:t xml:space="preserve">dit </w:t>
      </w:r>
      <w:r w:rsidRPr="00F12FD4">
        <w:rPr>
          <w:color w:val="000000" w:themeColor="text1"/>
        </w:rPr>
        <w:t xml:space="preserve">zich verhoudt tot </w:t>
      </w:r>
      <w:r w:rsidR="00A45950" w:rsidRPr="00F12FD4">
        <w:rPr>
          <w:color w:val="000000" w:themeColor="text1"/>
        </w:rPr>
        <w:t xml:space="preserve">een leidend principe in de </w:t>
      </w:r>
      <w:proofErr w:type="spellStart"/>
      <w:r w:rsidR="00A45950" w:rsidRPr="00F12FD4">
        <w:rPr>
          <w:color w:val="000000" w:themeColor="text1"/>
        </w:rPr>
        <w:t>archivistiek</w:t>
      </w:r>
      <w:proofErr w:type="spellEnd"/>
      <w:r w:rsidR="00A45950" w:rsidRPr="00F12FD4">
        <w:rPr>
          <w:color w:val="000000" w:themeColor="text1"/>
        </w:rPr>
        <w:t xml:space="preserve"> en welke verbindingen er tussen Common </w:t>
      </w:r>
      <w:proofErr w:type="spellStart"/>
      <w:r w:rsidR="00A45950" w:rsidRPr="00F12FD4">
        <w:rPr>
          <w:color w:val="000000" w:themeColor="text1"/>
        </w:rPr>
        <w:t>Ground</w:t>
      </w:r>
      <w:proofErr w:type="spellEnd"/>
      <w:r w:rsidR="00A45950" w:rsidRPr="00F12FD4">
        <w:rPr>
          <w:color w:val="000000" w:themeColor="text1"/>
        </w:rPr>
        <w:t xml:space="preserve"> en het e-depot gemaakt kunnen worden.</w:t>
      </w:r>
    </w:p>
    <w:p w14:paraId="72DA4F23" w14:textId="77777777" w:rsidR="0048312C" w:rsidRPr="00F12FD4" w:rsidRDefault="0048312C" w:rsidP="009014F2">
      <w:pPr>
        <w:ind w:left="1980"/>
        <w:jc w:val="both"/>
        <w:rPr>
          <w:color w:val="000000" w:themeColor="text1"/>
        </w:rPr>
      </w:pPr>
    </w:p>
    <w:p w14:paraId="720D4FD2" w14:textId="7C97DE4D" w:rsidR="007158AF" w:rsidRPr="00F12FD4" w:rsidRDefault="008175C9" w:rsidP="0048312C">
      <w:pPr>
        <w:pStyle w:val="Lijstalinea"/>
        <w:numPr>
          <w:ilvl w:val="0"/>
          <w:numId w:val="12"/>
        </w:numPr>
        <w:jc w:val="both"/>
        <w:rPr>
          <w:b/>
          <w:bCs/>
          <w:color w:val="6C5A82"/>
          <w:sz w:val="28"/>
          <w:szCs w:val="28"/>
        </w:rPr>
      </w:pPr>
      <w:r w:rsidRPr="00F12FD4">
        <w:rPr>
          <w:b/>
          <w:bCs/>
          <w:color w:val="6C5A82"/>
          <w:sz w:val="28"/>
          <w:szCs w:val="28"/>
        </w:rPr>
        <w:t xml:space="preserve">Common </w:t>
      </w:r>
      <w:proofErr w:type="spellStart"/>
      <w:r w:rsidRPr="00F12FD4">
        <w:rPr>
          <w:b/>
          <w:bCs/>
          <w:color w:val="6C5A82"/>
          <w:sz w:val="28"/>
          <w:szCs w:val="28"/>
        </w:rPr>
        <w:t>Ground</w:t>
      </w:r>
      <w:proofErr w:type="spellEnd"/>
      <w:r w:rsidRPr="00F12FD4">
        <w:rPr>
          <w:b/>
          <w:bCs/>
          <w:color w:val="6C5A82"/>
          <w:sz w:val="28"/>
          <w:szCs w:val="28"/>
        </w:rPr>
        <w:t>:</w:t>
      </w:r>
      <w:r w:rsidR="0045273B" w:rsidRPr="00F12FD4">
        <w:rPr>
          <w:b/>
          <w:bCs/>
          <w:color w:val="6C5A82"/>
          <w:sz w:val="28"/>
          <w:szCs w:val="28"/>
        </w:rPr>
        <w:t xml:space="preserve"> de data uit de silo’s halen</w:t>
      </w:r>
    </w:p>
    <w:p w14:paraId="59B71B12" w14:textId="3A25463C" w:rsidR="0045273B" w:rsidRPr="00F12FD4" w:rsidRDefault="00982292" w:rsidP="007158AF">
      <w:pPr>
        <w:ind w:left="1980"/>
        <w:jc w:val="both"/>
        <w:rPr>
          <w:color w:val="000000" w:themeColor="text1"/>
        </w:rPr>
      </w:pPr>
      <w:r w:rsidRPr="00F12FD4">
        <w:rPr>
          <w:color w:val="000000" w:themeColor="text1"/>
        </w:rPr>
        <w:t xml:space="preserve">Common </w:t>
      </w:r>
      <w:proofErr w:type="spellStart"/>
      <w:r w:rsidRPr="00F12FD4">
        <w:rPr>
          <w:color w:val="000000" w:themeColor="text1"/>
        </w:rPr>
        <w:t>Ground</w:t>
      </w:r>
      <w:proofErr w:type="spellEnd"/>
      <w:r w:rsidRPr="00F12FD4">
        <w:rPr>
          <w:color w:val="000000" w:themeColor="text1"/>
        </w:rPr>
        <w:t xml:space="preserve"> is een </w:t>
      </w:r>
      <w:r w:rsidR="00F436F5" w:rsidRPr="00F12FD4">
        <w:rPr>
          <w:color w:val="000000" w:themeColor="text1"/>
        </w:rPr>
        <w:t xml:space="preserve">informatiekundige </w:t>
      </w:r>
      <w:r w:rsidR="00AA72FE" w:rsidRPr="00F12FD4">
        <w:rPr>
          <w:color w:val="000000" w:themeColor="text1"/>
        </w:rPr>
        <w:t>visie</w:t>
      </w:r>
      <w:r w:rsidRPr="00F12FD4">
        <w:rPr>
          <w:color w:val="000000" w:themeColor="text1"/>
        </w:rPr>
        <w:t>,</w:t>
      </w:r>
      <w:r w:rsidR="00AA72FE" w:rsidRPr="00F12FD4">
        <w:rPr>
          <w:color w:val="000000" w:themeColor="text1"/>
        </w:rPr>
        <w:t xml:space="preserve"> ontwikkeld</w:t>
      </w:r>
      <w:r w:rsidRPr="00F12FD4">
        <w:rPr>
          <w:color w:val="000000" w:themeColor="text1"/>
        </w:rPr>
        <w:t xml:space="preserve"> </w:t>
      </w:r>
      <w:r w:rsidR="00A45950" w:rsidRPr="00F12FD4">
        <w:rPr>
          <w:color w:val="000000" w:themeColor="text1"/>
        </w:rPr>
        <w:t>onder leiding van</w:t>
      </w:r>
      <w:r w:rsidRPr="00F12FD4">
        <w:rPr>
          <w:color w:val="000000" w:themeColor="text1"/>
        </w:rPr>
        <w:t xml:space="preserve"> de VNG</w:t>
      </w:r>
      <w:r w:rsidR="00A45950" w:rsidRPr="00F12FD4">
        <w:rPr>
          <w:color w:val="000000" w:themeColor="text1"/>
        </w:rPr>
        <w:t xml:space="preserve"> in samenwerking met</w:t>
      </w:r>
      <w:r w:rsidRPr="00F12FD4">
        <w:rPr>
          <w:color w:val="000000" w:themeColor="text1"/>
        </w:rPr>
        <w:t xml:space="preserve"> het Rijk en </w:t>
      </w:r>
      <w:r w:rsidR="00D85A4C" w:rsidRPr="00F12FD4">
        <w:rPr>
          <w:color w:val="000000" w:themeColor="text1"/>
        </w:rPr>
        <w:t xml:space="preserve">enkele </w:t>
      </w:r>
      <w:r w:rsidRPr="00F12FD4">
        <w:rPr>
          <w:color w:val="000000" w:themeColor="text1"/>
        </w:rPr>
        <w:t>grote gemeenten</w:t>
      </w:r>
      <w:r w:rsidR="002C0920" w:rsidRPr="00F12FD4">
        <w:rPr>
          <w:color w:val="000000" w:themeColor="text1"/>
        </w:rPr>
        <w:t xml:space="preserve">. </w:t>
      </w:r>
      <w:r w:rsidR="00A34744" w:rsidRPr="00F12FD4">
        <w:rPr>
          <w:color w:val="000000" w:themeColor="text1"/>
        </w:rPr>
        <w:t xml:space="preserve">Gestreefd wordt </w:t>
      </w:r>
      <w:r w:rsidR="002C0920" w:rsidRPr="00F12FD4">
        <w:rPr>
          <w:color w:val="000000" w:themeColor="text1"/>
        </w:rPr>
        <w:t xml:space="preserve">naar een geleidelijke en </w:t>
      </w:r>
      <w:r w:rsidR="00320FE3" w:rsidRPr="00F12FD4">
        <w:rPr>
          <w:color w:val="000000" w:themeColor="text1"/>
        </w:rPr>
        <w:t xml:space="preserve">algehele hervorming van de gemeentelijke informatievoorziening. </w:t>
      </w:r>
      <w:r w:rsidR="00FC1BA2" w:rsidRPr="00F12FD4">
        <w:rPr>
          <w:color w:val="000000" w:themeColor="text1"/>
        </w:rPr>
        <w:t>In de nieuwe situatie wordt informatie n</w:t>
      </w:r>
      <w:r w:rsidR="00320FE3" w:rsidRPr="00F12FD4">
        <w:rPr>
          <w:color w:val="000000" w:themeColor="text1"/>
        </w:rPr>
        <w:t>iet langer</w:t>
      </w:r>
      <w:r w:rsidR="00FC1BA2" w:rsidRPr="00F12FD4">
        <w:rPr>
          <w:color w:val="000000" w:themeColor="text1"/>
        </w:rPr>
        <w:t xml:space="preserve"> per </w:t>
      </w:r>
      <w:r w:rsidR="00320FE3" w:rsidRPr="00F12FD4">
        <w:rPr>
          <w:color w:val="000000" w:themeColor="text1"/>
        </w:rPr>
        <w:t>applicatie opgeslagen en beheerd</w:t>
      </w:r>
      <w:r w:rsidR="00FC1BA2" w:rsidRPr="00F12FD4">
        <w:rPr>
          <w:color w:val="000000" w:themeColor="text1"/>
        </w:rPr>
        <w:t xml:space="preserve"> maar worden da</w:t>
      </w:r>
      <w:r w:rsidR="0064636F" w:rsidRPr="00F12FD4">
        <w:rPr>
          <w:color w:val="000000" w:themeColor="text1"/>
        </w:rPr>
        <w:t xml:space="preserve">ta gescheiden van de applicaties waarin </w:t>
      </w:r>
      <w:r w:rsidR="00FC1BA2" w:rsidRPr="00F12FD4">
        <w:rPr>
          <w:color w:val="000000" w:themeColor="text1"/>
        </w:rPr>
        <w:t>deze</w:t>
      </w:r>
      <w:r w:rsidR="0064636F" w:rsidRPr="00F12FD4">
        <w:rPr>
          <w:color w:val="000000" w:themeColor="text1"/>
        </w:rPr>
        <w:t xml:space="preserve"> word</w:t>
      </w:r>
      <w:r w:rsidR="00550547" w:rsidRPr="00F12FD4">
        <w:rPr>
          <w:color w:val="000000" w:themeColor="text1"/>
        </w:rPr>
        <w:t>en</w:t>
      </w:r>
      <w:r w:rsidR="0064636F" w:rsidRPr="00F12FD4">
        <w:rPr>
          <w:color w:val="000000" w:themeColor="text1"/>
        </w:rPr>
        <w:t xml:space="preserve"> gemaakt en </w:t>
      </w:r>
      <w:r w:rsidR="00B96A91" w:rsidRPr="00F12FD4">
        <w:rPr>
          <w:color w:val="000000" w:themeColor="text1"/>
        </w:rPr>
        <w:t>gebruikt</w:t>
      </w:r>
      <w:r w:rsidR="00550547" w:rsidRPr="00F12FD4">
        <w:rPr>
          <w:color w:val="000000" w:themeColor="text1"/>
        </w:rPr>
        <w:t xml:space="preserve">. Dit leidt tot </w:t>
      </w:r>
      <w:r w:rsidR="00B96A91" w:rsidRPr="00F12FD4">
        <w:rPr>
          <w:color w:val="000000" w:themeColor="text1"/>
        </w:rPr>
        <w:t>snel</w:t>
      </w:r>
      <w:r w:rsidR="00550547" w:rsidRPr="00F12FD4">
        <w:rPr>
          <w:color w:val="000000" w:themeColor="text1"/>
        </w:rPr>
        <w:t>,</w:t>
      </w:r>
      <w:r w:rsidR="00B96A91" w:rsidRPr="00F12FD4">
        <w:rPr>
          <w:color w:val="000000" w:themeColor="text1"/>
        </w:rPr>
        <w:t xml:space="preserve"> flexibel en veilig </w:t>
      </w:r>
      <w:r w:rsidR="008F1404" w:rsidRPr="00F12FD4">
        <w:rPr>
          <w:color w:val="000000" w:themeColor="text1"/>
        </w:rPr>
        <w:t>(her)gebrui</w:t>
      </w:r>
      <w:r w:rsidR="00550547" w:rsidRPr="00F12FD4">
        <w:rPr>
          <w:color w:val="000000" w:themeColor="text1"/>
        </w:rPr>
        <w:t>k van data</w:t>
      </w:r>
      <w:r w:rsidR="002D4D13" w:rsidRPr="00F12FD4">
        <w:rPr>
          <w:color w:val="000000" w:themeColor="text1"/>
        </w:rPr>
        <w:t xml:space="preserve">, </w:t>
      </w:r>
      <w:r w:rsidR="00207432" w:rsidRPr="00F12FD4">
        <w:rPr>
          <w:color w:val="000000" w:themeColor="text1"/>
        </w:rPr>
        <w:t>beschikbaar voor</w:t>
      </w:r>
      <w:r w:rsidR="008F1404" w:rsidRPr="00F12FD4">
        <w:rPr>
          <w:color w:val="000000" w:themeColor="text1"/>
        </w:rPr>
        <w:t xml:space="preserve"> elk proces en elke belanghebbende die daar recht op heeft. </w:t>
      </w:r>
      <w:r w:rsidR="00D30812" w:rsidRPr="00F12FD4">
        <w:rPr>
          <w:color w:val="000000" w:themeColor="text1"/>
        </w:rPr>
        <w:t xml:space="preserve">“Door de gegevenshuishouding volgens de Common </w:t>
      </w:r>
      <w:proofErr w:type="spellStart"/>
      <w:r w:rsidR="00D30812" w:rsidRPr="00F12FD4">
        <w:rPr>
          <w:color w:val="000000" w:themeColor="text1"/>
        </w:rPr>
        <w:t>Ground</w:t>
      </w:r>
      <w:proofErr w:type="spellEnd"/>
      <w:r w:rsidR="00D30812" w:rsidRPr="00F12FD4">
        <w:rPr>
          <w:color w:val="000000" w:themeColor="text1"/>
        </w:rPr>
        <w:t xml:space="preserve"> principes in te richten is het mogelijk om snel en flexibel te vernieuwen, te voldoen aan privacywetgeving en efficiënt om te gaan met data.”</w:t>
      </w:r>
      <w:r w:rsidR="00BC0493" w:rsidRPr="00F12FD4">
        <w:rPr>
          <w:rStyle w:val="Voetnootmarkering"/>
          <w:color w:val="000000" w:themeColor="text1"/>
        </w:rPr>
        <w:footnoteReference w:id="2"/>
      </w:r>
      <w:r w:rsidR="00D30812" w:rsidRPr="00F12FD4">
        <w:rPr>
          <w:color w:val="000000" w:themeColor="text1"/>
        </w:rPr>
        <w:t xml:space="preserve"> </w:t>
      </w:r>
      <w:r w:rsidR="009C2BC6" w:rsidRPr="00F12FD4">
        <w:rPr>
          <w:color w:val="000000" w:themeColor="text1"/>
        </w:rPr>
        <w:t>Hiermee wordt tevens beoogd dat gegevens uniform en eenmalig worden opgeslagen</w:t>
      </w:r>
      <w:r w:rsidR="00AE7435" w:rsidRPr="00F12FD4">
        <w:rPr>
          <w:color w:val="000000" w:themeColor="text1"/>
        </w:rPr>
        <w:t xml:space="preserve">, zodat ze via gestandaardiseerde manieren </w:t>
      </w:r>
      <w:r w:rsidR="00302F9A" w:rsidRPr="00F12FD4">
        <w:rPr>
          <w:color w:val="000000" w:themeColor="text1"/>
        </w:rPr>
        <w:t xml:space="preserve">kunnen </w:t>
      </w:r>
      <w:r w:rsidR="00AE7435" w:rsidRPr="00F12FD4">
        <w:rPr>
          <w:color w:val="000000" w:themeColor="text1"/>
        </w:rPr>
        <w:t xml:space="preserve">worden ontsloten. </w:t>
      </w:r>
    </w:p>
    <w:p w14:paraId="7240A22C" w14:textId="580E9416" w:rsidR="00395E20" w:rsidRPr="00F12FD4" w:rsidRDefault="00C00A20" w:rsidP="007158AF">
      <w:pPr>
        <w:ind w:left="1980"/>
        <w:jc w:val="both"/>
        <w:rPr>
          <w:color w:val="000000" w:themeColor="text1"/>
        </w:rPr>
      </w:pPr>
      <w:r w:rsidRPr="00F12FD4">
        <w:rPr>
          <w:color w:val="000000" w:themeColor="text1"/>
        </w:rPr>
        <w:lastRenderedPageBreak/>
        <w:t>Het vijflagenmodel</w:t>
      </w:r>
      <w:r w:rsidR="0002014E" w:rsidRPr="00F12FD4">
        <w:rPr>
          <w:color w:val="000000" w:themeColor="text1"/>
        </w:rPr>
        <w:t xml:space="preserve"> (figuur </w:t>
      </w:r>
      <w:r w:rsidR="00D85A4C" w:rsidRPr="00F12FD4">
        <w:rPr>
          <w:color w:val="000000" w:themeColor="text1"/>
        </w:rPr>
        <w:t>1</w:t>
      </w:r>
      <w:r w:rsidR="0002014E" w:rsidRPr="00F12FD4">
        <w:rPr>
          <w:color w:val="000000" w:themeColor="text1"/>
        </w:rPr>
        <w:t>)</w:t>
      </w:r>
      <w:r w:rsidRPr="00F12FD4">
        <w:rPr>
          <w:color w:val="000000" w:themeColor="text1"/>
        </w:rPr>
        <w:t xml:space="preserve"> van Common </w:t>
      </w:r>
      <w:proofErr w:type="spellStart"/>
      <w:r w:rsidRPr="00F12FD4">
        <w:rPr>
          <w:color w:val="000000" w:themeColor="text1"/>
        </w:rPr>
        <w:t>Ground</w:t>
      </w:r>
      <w:proofErr w:type="spellEnd"/>
      <w:r w:rsidRPr="00F12FD4">
        <w:rPr>
          <w:color w:val="000000" w:themeColor="text1"/>
        </w:rPr>
        <w:t xml:space="preserve"> </w:t>
      </w:r>
      <w:r w:rsidR="00FE39E8" w:rsidRPr="00F12FD4">
        <w:rPr>
          <w:color w:val="000000" w:themeColor="text1"/>
        </w:rPr>
        <w:t xml:space="preserve">staat centraal in de visualisatie van de uitvoering </w:t>
      </w:r>
      <w:r w:rsidR="001A1ABF" w:rsidRPr="00F12FD4">
        <w:rPr>
          <w:color w:val="000000" w:themeColor="text1"/>
        </w:rPr>
        <w:t xml:space="preserve">van het concept. </w:t>
      </w:r>
      <w:r w:rsidR="0002014E" w:rsidRPr="00F12FD4">
        <w:rPr>
          <w:color w:val="000000" w:themeColor="text1"/>
        </w:rPr>
        <w:t xml:space="preserve">De data </w:t>
      </w:r>
      <w:r w:rsidR="00433B42" w:rsidRPr="00F12FD4">
        <w:rPr>
          <w:color w:val="000000" w:themeColor="text1"/>
        </w:rPr>
        <w:t>staa</w:t>
      </w:r>
      <w:r w:rsidR="00701621" w:rsidRPr="00F12FD4">
        <w:rPr>
          <w:color w:val="000000" w:themeColor="text1"/>
        </w:rPr>
        <w:t>n</w:t>
      </w:r>
      <w:r w:rsidR="00433B42" w:rsidRPr="00F12FD4">
        <w:rPr>
          <w:color w:val="000000" w:themeColor="text1"/>
        </w:rPr>
        <w:t xml:space="preserve"> opgeslagen in de onderste laag</w:t>
      </w:r>
      <w:r w:rsidR="00D85A4C" w:rsidRPr="00F12FD4">
        <w:rPr>
          <w:color w:val="000000" w:themeColor="text1"/>
        </w:rPr>
        <w:t>. Ze</w:t>
      </w:r>
      <w:r w:rsidR="00433B42" w:rsidRPr="00F12FD4">
        <w:rPr>
          <w:color w:val="000000" w:themeColor="text1"/>
        </w:rPr>
        <w:t xml:space="preserve"> </w:t>
      </w:r>
      <w:r w:rsidR="00701621" w:rsidRPr="00F12FD4">
        <w:rPr>
          <w:color w:val="000000" w:themeColor="text1"/>
        </w:rPr>
        <w:t xml:space="preserve">worden </w:t>
      </w:r>
      <w:r w:rsidR="00433B42" w:rsidRPr="00F12FD4">
        <w:rPr>
          <w:color w:val="000000" w:themeColor="text1"/>
        </w:rPr>
        <w:t>ontsloten via gestandaardiseerde toegangslagen (</w:t>
      </w:r>
      <w:proofErr w:type="spellStart"/>
      <w:r w:rsidR="00433B42" w:rsidRPr="00F12FD4">
        <w:rPr>
          <w:color w:val="000000" w:themeColor="text1"/>
        </w:rPr>
        <w:t>API’s</w:t>
      </w:r>
      <w:proofErr w:type="spellEnd"/>
      <w:r w:rsidR="00433B42" w:rsidRPr="00F12FD4">
        <w:rPr>
          <w:color w:val="000000" w:themeColor="text1"/>
        </w:rPr>
        <w:t>) en het</w:t>
      </w:r>
      <w:r w:rsidR="00395E20" w:rsidRPr="00F12FD4">
        <w:rPr>
          <w:color w:val="000000" w:themeColor="text1"/>
        </w:rPr>
        <w:t xml:space="preserve"> uitwisselingsplatform (NLX). De procesapplicaties, waar voorheen de data in stond</w:t>
      </w:r>
      <w:r w:rsidR="00D85A4C" w:rsidRPr="00F12FD4">
        <w:rPr>
          <w:color w:val="000000" w:themeColor="text1"/>
        </w:rPr>
        <w:t>en</w:t>
      </w:r>
      <w:r w:rsidR="00395E20" w:rsidRPr="00F12FD4">
        <w:rPr>
          <w:color w:val="000000" w:themeColor="text1"/>
        </w:rPr>
        <w:t xml:space="preserve"> opgeslagen, vormen</w:t>
      </w:r>
      <w:r w:rsidR="00701621" w:rsidRPr="00F12FD4">
        <w:rPr>
          <w:color w:val="000000" w:themeColor="text1"/>
        </w:rPr>
        <w:t xml:space="preserve"> de vierde</w:t>
      </w:r>
      <w:r w:rsidR="00395E20" w:rsidRPr="00F12FD4">
        <w:rPr>
          <w:color w:val="000000" w:themeColor="text1"/>
        </w:rPr>
        <w:t xml:space="preserve"> </w:t>
      </w:r>
      <w:r w:rsidR="00701621" w:rsidRPr="00F12FD4">
        <w:rPr>
          <w:color w:val="000000" w:themeColor="text1"/>
        </w:rPr>
        <w:t>laag</w:t>
      </w:r>
      <w:r w:rsidR="00D85A4C" w:rsidRPr="00F12FD4">
        <w:rPr>
          <w:color w:val="000000" w:themeColor="text1"/>
        </w:rPr>
        <w:t>. Deze</w:t>
      </w:r>
      <w:r w:rsidR="00395E20" w:rsidRPr="00F12FD4">
        <w:rPr>
          <w:color w:val="000000" w:themeColor="text1"/>
        </w:rPr>
        <w:t xml:space="preserve"> </w:t>
      </w:r>
      <w:r w:rsidR="00E75DDC" w:rsidRPr="00F12FD4">
        <w:rPr>
          <w:color w:val="000000" w:themeColor="text1"/>
        </w:rPr>
        <w:t xml:space="preserve">moeten via de gestandaardiseerde </w:t>
      </w:r>
      <w:r w:rsidR="00703A71" w:rsidRPr="00F12FD4">
        <w:rPr>
          <w:color w:val="000000" w:themeColor="text1"/>
        </w:rPr>
        <w:t>uitwisselings- en toegangslagen</w:t>
      </w:r>
      <w:r w:rsidR="00D85A4C" w:rsidRPr="00F12FD4">
        <w:rPr>
          <w:color w:val="000000" w:themeColor="text1"/>
        </w:rPr>
        <w:t xml:space="preserve"> (2 en 3)</w:t>
      </w:r>
      <w:r w:rsidR="00703A71" w:rsidRPr="00F12FD4">
        <w:rPr>
          <w:color w:val="000000" w:themeColor="text1"/>
        </w:rPr>
        <w:t xml:space="preserve"> hun data opslaan</w:t>
      </w:r>
      <w:r w:rsidR="00302F9A" w:rsidRPr="00F12FD4">
        <w:rPr>
          <w:color w:val="000000" w:themeColor="text1"/>
        </w:rPr>
        <w:t xml:space="preserve"> in,</w:t>
      </w:r>
      <w:r w:rsidR="00703A71" w:rsidRPr="00F12FD4">
        <w:rPr>
          <w:color w:val="000000" w:themeColor="text1"/>
        </w:rPr>
        <w:t xml:space="preserve"> en opvragen</w:t>
      </w:r>
      <w:r w:rsidR="00302F9A" w:rsidRPr="00F12FD4">
        <w:rPr>
          <w:color w:val="000000" w:themeColor="text1"/>
        </w:rPr>
        <w:t xml:space="preserve"> uit de </w:t>
      </w:r>
      <w:proofErr w:type="spellStart"/>
      <w:r w:rsidR="00302F9A" w:rsidRPr="00F12FD4">
        <w:rPr>
          <w:color w:val="000000" w:themeColor="text1"/>
        </w:rPr>
        <w:t>datalaag</w:t>
      </w:r>
      <w:proofErr w:type="spellEnd"/>
      <w:r w:rsidR="00703A71" w:rsidRPr="00F12FD4">
        <w:rPr>
          <w:color w:val="000000" w:themeColor="text1"/>
        </w:rPr>
        <w:t xml:space="preserve">. </w:t>
      </w:r>
      <w:r w:rsidR="002658DB" w:rsidRPr="00F12FD4">
        <w:rPr>
          <w:color w:val="000000" w:themeColor="text1"/>
        </w:rPr>
        <w:t xml:space="preserve">De </w:t>
      </w:r>
      <w:r w:rsidR="00C03ADD" w:rsidRPr="00F12FD4">
        <w:rPr>
          <w:color w:val="000000" w:themeColor="text1"/>
        </w:rPr>
        <w:t>bovenste</w:t>
      </w:r>
      <w:r w:rsidR="002658DB" w:rsidRPr="00F12FD4">
        <w:rPr>
          <w:color w:val="000000" w:themeColor="text1"/>
        </w:rPr>
        <w:t xml:space="preserve"> laag is </w:t>
      </w:r>
      <w:r w:rsidR="00C03ADD" w:rsidRPr="00F12FD4">
        <w:rPr>
          <w:color w:val="000000" w:themeColor="text1"/>
        </w:rPr>
        <w:t>waar de interactie met de eindgebruiker plaatsvind</w:t>
      </w:r>
      <w:r w:rsidR="00803C7C" w:rsidRPr="00F12FD4">
        <w:rPr>
          <w:color w:val="000000" w:themeColor="text1"/>
        </w:rPr>
        <w:t xml:space="preserve">t. Hier krijgen </w:t>
      </w:r>
      <w:r w:rsidR="002658DB" w:rsidRPr="00F12FD4">
        <w:rPr>
          <w:color w:val="000000" w:themeColor="text1"/>
        </w:rPr>
        <w:t xml:space="preserve">gebruikers toegang krijgen tot precies die informatie waar zij </w:t>
      </w:r>
      <w:r w:rsidR="00726599" w:rsidRPr="00F12FD4">
        <w:rPr>
          <w:color w:val="000000" w:themeColor="text1"/>
        </w:rPr>
        <w:t>bevoegd toe zijn</w:t>
      </w:r>
      <w:r w:rsidR="002658DB" w:rsidRPr="00F12FD4">
        <w:rPr>
          <w:color w:val="000000" w:themeColor="text1"/>
        </w:rPr>
        <w:t xml:space="preserve"> in een formaat dat voor hen optimaal te (her)gebruiken is.</w:t>
      </w:r>
    </w:p>
    <w:p w14:paraId="3631F2F4" w14:textId="50FF229D" w:rsidR="003755ED" w:rsidRPr="00F12FD4" w:rsidRDefault="00CF1F8A" w:rsidP="00CF1F8A">
      <w:pPr>
        <w:ind w:left="1980"/>
        <w:jc w:val="both"/>
        <w:rPr>
          <w:color w:val="000000" w:themeColor="text1"/>
        </w:rPr>
      </w:pPr>
      <w:r w:rsidRPr="00F12FD4">
        <w:rPr>
          <w:color w:val="000000" w:themeColor="text1"/>
        </w:rPr>
        <w:t>De focus op eenmalige opslag van een uniek en ‘origineel’</w:t>
      </w:r>
      <w:r w:rsidR="00D85A4C" w:rsidRPr="00F12FD4">
        <w:rPr>
          <w:color w:val="000000" w:themeColor="text1"/>
        </w:rPr>
        <w:t xml:space="preserve"> document</w:t>
      </w:r>
      <w:r w:rsidRPr="00F12FD4">
        <w:rPr>
          <w:color w:val="000000" w:themeColor="text1"/>
        </w:rPr>
        <w:t xml:space="preserve">, voor zover er in de digitale wereld gesproken kan worden van origineel, past goed bij de </w:t>
      </w:r>
      <w:proofErr w:type="spellStart"/>
      <w:r w:rsidRPr="00F12FD4">
        <w:rPr>
          <w:color w:val="000000" w:themeColor="text1"/>
        </w:rPr>
        <w:t>archivistische</w:t>
      </w:r>
      <w:proofErr w:type="spellEnd"/>
      <w:r w:rsidRPr="00F12FD4">
        <w:rPr>
          <w:color w:val="000000" w:themeColor="text1"/>
        </w:rPr>
        <w:t xml:space="preserve"> focus op </w:t>
      </w:r>
      <w:r w:rsidR="00FA2A93" w:rsidRPr="00F12FD4">
        <w:rPr>
          <w:color w:val="000000" w:themeColor="text1"/>
        </w:rPr>
        <w:t xml:space="preserve">het bewaren, beheren en ontsluiten van </w:t>
      </w:r>
      <w:r w:rsidR="00DD7CEE" w:rsidRPr="00F12FD4">
        <w:rPr>
          <w:color w:val="000000" w:themeColor="text1"/>
        </w:rPr>
        <w:t xml:space="preserve">originele </w:t>
      </w:r>
      <w:r w:rsidR="007C7795" w:rsidRPr="00F12FD4">
        <w:rPr>
          <w:color w:val="000000" w:themeColor="text1"/>
        </w:rPr>
        <w:t>documenten</w:t>
      </w:r>
      <w:r w:rsidRPr="00F12FD4">
        <w:rPr>
          <w:color w:val="000000" w:themeColor="text1"/>
        </w:rPr>
        <w:t>.</w:t>
      </w:r>
      <w:r w:rsidR="00F508AC" w:rsidRPr="00F12FD4">
        <w:rPr>
          <w:color w:val="000000" w:themeColor="text1"/>
        </w:rPr>
        <w:t xml:space="preserve"> Nieuw hierin is de notie van ‘bewaren bij de bron’, waarbij informatie niet langer fysiek wordt verplaatst naar een openbare archiefbewaarplaats. </w:t>
      </w:r>
      <w:r w:rsidR="00E40FF2" w:rsidRPr="00F12FD4">
        <w:rPr>
          <w:color w:val="000000" w:themeColor="text1"/>
        </w:rPr>
        <w:t>I</w:t>
      </w:r>
      <w:r w:rsidR="00F508AC" w:rsidRPr="00F12FD4">
        <w:rPr>
          <w:color w:val="000000" w:themeColor="text1"/>
        </w:rPr>
        <w:t>nformatie</w:t>
      </w:r>
      <w:r w:rsidR="00E40FF2" w:rsidRPr="00F12FD4">
        <w:rPr>
          <w:color w:val="000000" w:themeColor="text1"/>
        </w:rPr>
        <w:t xml:space="preserve"> wordt in dat scenario</w:t>
      </w:r>
      <w:r w:rsidR="00F508AC" w:rsidRPr="00F12FD4">
        <w:rPr>
          <w:color w:val="000000" w:themeColor="text1"/>
        </w:rPr>
        <w:t xml:space="preserve"> door de archiefdienst direct beheerd en ontsloten vanuit de </w:t>
      </w:r>
      <w:r w:rsidR="00B82966" w:rsidRPr="00F12FD4">
        <w:rPr>
          <w:color w:val="000000" w:themeColor="text1"/>
        </w:rPr>
        <w:t xml:space="preserve">bronapplicatie. Dit kan een applicatie zijn van de gemeente, het rijk, óf van de archiefdienst zelf die reeds bij de start van het proces zijn </w:t>
      </w:r>
      <w:r w:rsidR="003755ED" w:rsidRPr="00F12FD4">
        <w:rPr>
          <w:color w:val="000000" w:themeColor="text1"/>
        </w:rPr>
        <w:t xml:space="preserve">opslagfaciliteit bij de gemeente heeft </w:t>
      </w:r>
      <w:r w:rsidR="005E75B8" w:rsidRPr="00F12FD4">
        <w:rPr>
          <w:color w:val="000000" w:themeColor="text1"/>
        </w:rPr>
        <w:t>geïmplementeerd</w:t>
      </w:r>
      <w:r w:rsidR="003755ED" w:rsidRPr="00F12FD4">
        <w:rPr>
          <w:color w:val="000000" w:themeColor="text1"/>
        </w:rPr>
        <w:t>. Hierdoor st</w:t>
      </w:r>
      <w:r w:rsidR="001657F2" w:rsidRPr="00F12FD4">
        <w:rPr>
          <w:color w:val="000000" w:themeColor="text1"/>
        </w:rPr>
        <w:t>aat</w:t>
      </w:r>
      <w:r w:rsidR="003755ED" w:rsidRPr="00F12FD4">
        <w:rPr>
          <w:color w:val="000000" w:themeColor="text1"/>
        </w:rPr>
        <w:t xml:space="preserve"> een document ook al voor zijn statische fase bij de archiefdienst in ‘het depot’.</w:t>
      </w:r>
      <w:r w:rsidRPr="00F12FD4">
        <w:rPr>
          <w:color w:val="000000" w:themeColor="text1"/>
        </w:rPr>
        <w:t xml:space="preserve"> </w:t>
      </w:r>
    </w:p>
    <w:p w14:paraId="6448120D" w14:textId="53887D0B" w:rsidR="00CF1F8A" w:rsidRPr="00F12FD4" w:rsidRDefault="00CF1F8A" w:rsidP="00CF1F8A">
      <w:pPr>
        <w:ind w:left="1980"/>
        <w:jc w:val="both"/>
        <w:rPr>
          <w:color w:val="000000" w:themeColor="text1"/>
        </w:rPr>
      </w:pPr>
      <w:r w:rsidRPr="00F12FD4">
        <w:rPr>
          <w:color w:val="000000" w:themeColor="text1"/>
        </w:rPr>
        <w:t xml:space="preserve">De sterke nadruk op standaardisatie van uitwisseling en toegang sluit bovendien aan op bewegingen in de preservering van digitale informatie, zoals de </w:t>
      </w:r>
      <w:proofErr w:type="spellStart"/>
      <w:r w:rsidRPr="00F12FD4">
        <w:rPr>
          <w:color w:val="000000" w:themeColor="text1"/>
        </w:rPr>
        <w:t>preserveringsdocumentatie</w:t>
      </w:r>
      <w:proofErr w:type="spellEnd"/>
      <w:r w:rsidRPr="00F12FD4">
        <w:rPr>
          <w:color w:val="000000" w:themeColor="text1"/>
        </w:rPr>
        <w:t xml:space="preserve"> van het Nationaal Archief.</w:t>
      </w:r>
      <w:r w:rsidR="00D85A4C" w:rsidRPr="00F12FD4">
        <w:rPr>
          <w:rStyle w:val="Voetnootmarkering"/>
          <w:color w:val="000000" w:themeColor="text1"/>
        </w:rPr>
        <w:footnoteReference w:id="3"/>
      </w:r>
      <w:r w:rsidRPr="00F12FD4">
        <w:rPr>
          <w:color w:val="000000" w:themeColor="text1"/>
        </w:rPr>
        <w:t xml:space="preserve"> Het mag daarom geen verrassing zijn dat digitale archiveringsmodel</w:t>
      </w:r>
      <w:r w:rsidR="005E3501" w:rsidRPr="00F12FD4">
        <w:rPr>
          <w:color w:val="000000" w:themeColor="text1"/>
        </w:rPr>
        <w:t>len</w:t>
      </w:r>
      <w:r w:rsidRPr="00F12FD4">
        <w:rPr>
          <w:color w:val="000000" w:themeColor="text1"/>
        </w:rPr>
        <w:t xml:space="preserve"> goed lijk</w:t>
      </w:r>
      <w:r w:rsidR="005E3501" w:rsidRPr="00F12FD4">
        <w:rPr>
          <w:color w:val="000000" w:themeColor="text1"/>
        </w:rPr>
        <w:t>en</w:t>
      </w:r>
      <w:r w:rsidRPr="00F12FD4">
        <w:rPr>
          <w:color w:val="000000" w:themeColor="text1"/>
        </w:rPr>
        <w:t xml:space="preserve"> te passen binnen de Common </w:t>
      </w:r>
      <w:proofErr w:type="spellStart"/>
      <w:r w:rsidRPr="00F12FD4">
        <w:rPr>
          <w:color w:val="000000" w:themeColor="text1"/>
        </w:rPr>
        <w:t>Ground</w:t>
      </w:r>
      <w:proofErr w:type="spellEnd"/>
      <w:r w:rsidRPr="00F12FD4">
        <w:rPr>
          <w:color w:val="000000" w:themeColor="text1"/>
        </w:rPr>
        <w:t xml:space="preserve"> principes</w:t>
      </w:r>
      <w:r w:rsidR="005E3501" w:rsidRPr="00F12FD4">
        <w:rPr>
          <w:color w:val="000000" w:themeColor="text1"/>
        </w:rPr>
        <w:t xml:space="preserve">. In de volgende paragraaf zal dit aan de hand van het meest </w:t>
      </w:r>
      <w:r w:rsidR="00F017BE" w:rsidRPr="00F12FD4">
        <w:rPr>
          <w:color w:val="000000" w:themeColor="text1"/>
        </w:rPr>
        <w:t>gebruikte model worden gedemonstreerd.</w:t>
      </w:r>
      <w:r w:rsidR="00F017BE" w:rsidRPr="00F12FD4" w:rsidDel="00F017BE">
        <w:rPr>
          <w:color w:val="000000" w:themeColor="text1"/>
        </w:rPr>
        <w:t xml:space="preserve"> </w:t>
      </w:r>
    </w:p>
    <w:p w14:paraId="6BDBA4A4" w14:textId="77777777" w:rsidR="00CF1F8A" w:rsidRPr="00F12FD4" w:rsidRDefault="00CF1F8A" w:rsidP="007158AF">
      <w:pPr>
        <w:ind w:left="1980"/>
        <w:jc w:val="both"/>
        <w:rPr>
          <w:color w:val="000000" w:themeColor="text1"/>
          <w:sz w:val="24"/>
          <w:szCs w:val="24"/>
        </w:rPr>
      </w:pPr>
    </w:p>
    <w:p w14:paraId="4D759A24" w14:textId="7A5565B0" w:rsidR="00704428" w:rsidRPr="00F12FD4" w:rsidRDefault="00433B42" w:rsidP="007158AF">
      <w:pPr>
        <w:ind w:left="1980"/>
        <w:jc w:val="both"/>
        <w:rPr>
          <w:color w:val="000000" w:themeColor="text1"/>
          <w:sz w:val="24"/>
          <w:szCs w:val="24"/>
        </w:rPr>
      </w:pPr>
      <w:r w:rsidRPr="00F12FD4">
        <w:rPr>
          <w:color w:val="000000" w:themeColor="text1"/>
          <w:sz w:val="24"/>
          <w:szCs w:val="24"/>
        </w:rPr>
        <w:t xml:space="preserve"> </w:t>
      </w:r>
      <w:r w:rsidR="00395E20" w:rsidRPr="00F12FD4">
        <w:rPr>
          <w:noProof/>
          <w:color w:val="000000" w:themeColor="text1"/>
          <w:sz w:val="24"/>
          <w:szCs w:val="24"/>
        </w:rPr>
        <w:drawing>
          <wp:inline distT="0" distB="0" distL="0" distR="0" wp14:anchorId="1CF7AB37" wp14:editId="2051EFFA">
            <wp:extent cx="4186964" cy="2714625"/>
            <wp:effectExtent l="0" t="0" r="444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2198" cy="2718018"/>
                    </a:xfrm>
                    <a:prstGeom prst="rect">
                      <a:avLst/>
                    </a:prstGeom>
                    <a:noFill/>
                    <a:ln>
                      <a:noFill/>
                    </a:ln>
                  </pic:spPr>
                </pic:pic>
              </a:graphicData>
            </a:graphic>
          </wp:inline>
        </w:drawing>
      </w:r>
    </w:p>
    <w:p w14:paraId="6F9D4341" w14:textId="498A3508" w:rsidR="0048312C" w:rsidRPr="00F12FD4" w:rsidRDefault="004558EA" w:rsidP="005E75B8">
      <w:pPr>
        <w:ind w:left="1980"/>
        <w:jc w:val="both"/>
        <w:rPr>
          <w:i/>
          <w:iCs/>
          <w:color w:val="000000" w:themeColor="text1"/>
          <w:sz w:val="20"/>
          <w:szCs w:val="20"/>
        </w:rPr>
      </w:pPr>
      <w:r w:rsidRPr="00F12FD4">
        <w:rPr>
          <w:i/>
          <w:iCs/>
          <w:color w:val="000000" w:themeColor="text1"/>
          <w:sz w:val="20"/>
          <w:szCs w:val="20"/>
        </w:rPr>
        <w:t xml:space="preserve">Figuur </w:t>
      </w:r>
      <w:r w:rsidR="00D85A4C" w:rsidRPr="00F12FD4">
        <w:rPr>
          <w:i/>
          <w:iCs/>
          <w:color w:val="000000" w:themeColor="text1"/>
          <w:sz w:val="20"/>
          <w:szCs w:val="20"/>
        </w:rPr>
        <w:t>1</w:t>
      </w:r>
      <w:r w:rsidR="000D4D3B" w:rsidRPr="00F12FD4">
        <w:rPr>
          <w:i/>
          <w:iCs/>
          <w:color w:val="000000" w:themeColor="text1"/>
          <w:sz w:val="20"/>
          <w:szCs w:val="20"/>
        </w:rPr>
        <w:t xml:space="preserve"> – Het vijflagenmodel van Common </w:t>
      </w:r>
      <w:proofErr w:type="spellStart"/>
      <w:r w:rsidR="000D4D3B" w:rsidRPr="00F12FD4">
        <w:rPr>
          <w:i/>
          <w:iCs/>
          <w:color w:val="000000" w:themeColor="text1"/>
          <w:sz w:val="20"/>
          <w:szCs w:val="20"/>
        </w:rPr>
        <w:t>Ground</w:t>
      </w:r>
      <w:proofErr w:type="spellEnd"/>
      <w:r w:rsidR="000D4D3B" w:rsidRPr="00F12FD4">
        <w:rPr>
          <w:i/>
          <w:iCs/>
          <w:color w:val="000000" w:themeColor="text1"/>
          <w:sz w:val="20"/>
          <w:szCs w:val="20"/>
        </w:rPr>
        <w:t xml:space="preserve">, </w:t>
      </w:r>
      <w:r w:rsidR="000F2A76" w:rsidRPr="00F12FD4">
        <w:rPr>
          <w:i/>
          <w:iCs/>
          <w:color w:val="000000" w:themeColor="text1"/>
          <w:sz w:val="20"/>
          <w:szCs w:val="20"/>
        </w:rPr>
        <w:t>via commonground.nl</w:t>
      </w:r>
    </w:p>
    <w:p w14:paraId="5F2A98B4" w14:textId="1DB9A2B2" w:rsidR="00E624D8" w:rsidRPr="00F12FD4" w:rsidRDefault="00C30673" w:rsidP="0048312C">
      <w:pPr>
        <w:pStyle w:val="Lijstalinea"/>
        <w:numPr>
          <w:ilvl w:val="0"/>
          <w:numId w:val="12"/>
        </w:numPr>
        <w:jc w:val="both"/>
        <w:rPr>
          <w:color w:val="000000" w:themeColor="text1"/>
          <w:sz w:val="24"/>
          <w:szCs w:val="24"/>
        </w:rPr>
      </w:pPr>
      <w:r w:rsidRPr="00F12FD4">
        <w:rPr>
          <w:b/>
          <w:bCs/>
          <w:color w:val="6C5A82"/>
          <w:sz w:val="28"/>
          <w:szCs w:val="28"/>
        </w:rPr>
        <w:lastRenderedPageBreak/>
        <w:t xml:space="preserve">OAIS en Common </w:t>
      </w:r>
      <w:proofErr w:type="spellStart"/>
      <w:r w:rsidRPr="00F12FD4">
        <w:rPr>
          <w:b/>
          <w:bCs/>
          <w:color w:val="6C5A82"/>
          <w:sz w:val="28"/>
          <w:szCs w:val="28"/>
        </w:rPr>
        <w:t>Ground</w:t>
      </w:r>
      <w:proofErr w:type="spellEnd"/>
      <w:r w:rsidRPr="00F12FD4">
        <w:rPr>
          <w:b/>
          <w:bCs/>
          <w:color w:val="6C5A82"/>
          <w:sz w:val="28"/>
          <w:szCs w:val="28"/>
        </w:rPr>
        <w:t xml:space="preserve">: </w:t>
      </w:r>
      <w:r w:rsidR="00051439" w:rsidRPr="00F12FD4">
        <w:rPr>
          <w:b/>
          <w:bCs/>
          <w:color w:val="6C5A82"/>
          <w:sz w:val="28"/>
          <w:szCs w:val="28"/>
        </w:rPr>
        <w:t>als twee druppels water?</w:t>
      </w:r>
    </w:p>
    <w:p w14:paraId="2626FF7F" w14:textId="294C0B31" w:rsidR="00D85A4C" w:rsidRPr="00F12FD4" w:rsidRDefault="00D85A4C" w:rsidP="00E36AC0">
      <w:pPr>
        <w:ind w:left="1980"/>
        <w:jc w:val="both"/>
        <w:rPr>
          <w:color w:val="000000" w:themeColor="text1"/>
        </w:rPr>
      </w:pPr>
      <w:r w:rsidRPr="00F12FD4">
        <w:rPr>
          <w:color w:val="000000" w:themeColor="text1"/>
        </w:rPr>
        <w:t>De Archiefwet 1995 stelt archiefvormers, zoals onze zes gemeenten, verplicht om de door hen ontvangen of geproduceerde documenten in de originele vorm te bewaren en tijdig over te brengen naar een openbare archiefbewaarplaats of te vernietigen. Dit betekent dat digitale informatie in al haar verscheidenheid langdurig moet worden vastgelegd en gepreserveerd. Het vakgebied van archivarissen ontwikkel</w:t>
      </w:r>
      <w:r w:rsidR="00511DD1" w:rsidRPr="00F12FD4">
        <w:rPr>
          <w:color w:val="000000" w:themeColor="text1"/>
        </w:rPr>
        <w:t>t</w:t>
      </w:r>
      <w:r w:rsidRPr="00F12FD4">
        <w:rPr>
          <w:color w:val="000000" w:themeColor="text1"/>
        </w:rPr>
        <w:t xml:space="preserve"> op nationaal en internationaal niveau al sinds de jaren ’90 van de vorige eeuw oplossingen en systemen om deze verplichting te realiseren. </w:t>
      </w:r>
      <w:r w:rsidR="00C238BF" w:rsidRPr="00F12FD4">
        <w:rPr>
          <w:color w:val="000000" w:themeColor="text1"/>
        </w:rPr>
        <w:t>Door de snelle ontwikkelingen op het gebied van ICT is dit een doorlopend proces. Het e-depot vormt hierin een belangrijke en langverwachte mijlpaal.</w:t>
      </w:r>
    </w:p>
    <w:p w14:paraId="30D4E926" w14:textId="46452F74" w:rsidR="00517EEE" w:rsidRPr="00F12FD4" w:rsidRDefault="00541B77" w:rsidP="00E36AC0">
      <w:pPr>
        <w:ind w:left="1980"/>
        <w:jc w:val="both"/>
        <w:rPr>
          <w:color w:val="000000" w:themeColor="text1"/>
        </w:rPr>
      </w:pPr>
      <w:r w:rsidRPr="00F12FD4">
        <w:rPr>
          <w:color w:val="000000" w:themeColor="text1"/>
        </w:rPr>
        <w:t>Het</w:t>
      </w:r>
      <w:r w:rsidR="00494BA2" w:rsidRPr="00F12FD4">
        <w:rPr>
          <w:color w:val="000000" w:themeColor="text1"/>
        </w:rPr>
        <w:t xml:space="preserve"> </w:t>
      </w:r>
      <w:r w:rsidR="00E73CCE" w:rsidRPr="00F12FD4">
        <w:rPr>
          <w:color w:val="000000" w:themeColor="text1"/>
        </w:rPr>
        <w:t xml:space="preserve">Referentiemodel </w:t>
      </w:r>
      <w:r w:rsidR="00494BA2" w:rsidRPr="00F12FD4">
        <w:rPr>
          <w:color w:val="000000" w:themeColor="text1"/>
        </w:rPr>
        <w:t xml:space="preserve">Open </w:t>
      </w:r>
      <w:proofErr w:type="spellStart"/>
      <w:r w:rsidR="00494BA2" w:rsidRPr="00F12FD4">
        <w:rPr>
          <w:color w:val="000000" w:themeColor="text1"/>
        </w:rPr>
        <w:t>Archival</w:t>
      </w:r>
      <w:proofErr w:type="spellEnd"/>
      <w:r w:rsidR="00494BA2" w:rsidRPr="00F12FD4">
        <w:rPr>
          <w:color w:val="000000" w:themeColor="text1"/>
        </w:rPr>
        <w:t xml:space="preserve"> Information System</w:t>
      </w:r>
      <w:r w:rsidRPr="00F12FD4">
        <w:rPr>
          <w:color w:val="000000" w:themeColor="text1"/>
        </w:rPr>
        <w:t xml:space="preserve">, hierna het OAIS-Model, </w:t>
      </w:r>
      <w:r w:rsidR="00F017BE" w:rsidRPr="00F12FD4">
        <w:rPr>
          <w:color w:val="000000" w:themeColor="text1"/>
        </w:rPr>
        <w:t xml:space="preserve">is een internationaal </w:t>
      </w:r>
      <w:r w:rsidR="00517EEE" w:rsidRPr="00F12FD4">
        <w:rPr>
          <w:color w:val="000000" w:themeColor="text1"/>
        </w:rPr>
        <w:t xml:space="preserve">ontwikkeld product dat </w:t>
      </w:r>
      <w:r w:rsidR="00913AC6" w:rsidRPr="00F12FD4">
        <w:rPr>
          <w:color w:val="000000" w:themeColor="text1"/>
        </w:rPr>
        <w:t xml:space="preserve">een </w:t>
      </w:r>
      <w:r w:rsidR="00F17EF7" w:rsidRPr="00F12FD4">
        <w:rPr>
          <w:color w:val="000000" w:themeColor="text1"/>
        </w:rPr>
        <w:t>architectuurprincipe voor de duurzame en langdurige opslag van informatie</w:t>
      </w:r>
      <w:r w:rsidR="00517EEE" w:rsidRPr="00F12FD4">
        <w:rPr>
          <w:color w:val="000000" w:themeColor="text1"/>
        </w:rPr>
        <w:t xml:space="preserve"> beschrijft</w:t>
      </w:r>
      <w:r w:rsidR="00F17EF7" w:rsidRPr="00F12FD4">
        <w:rPr>
          <w:color w:val="000000" w:themeColor="text1"/>
        </w:rPr>
        <w:t xml:space="preserve">. Sinds de introductie is het uitgegroeid tot </w:t>
      </w:r>
      <w:r w:rsidR="000729E0" w:rsidRPr="00F12FD4">
        <w:rPr>
          <w:color w:val="000000" w:themeColor="text1"/>
        </w:rPr>
        <w:t xml:space="preserve">een standaard binnen de </w:t>
      </w:r>
      <w:r w:rsidR="00AA4917" w:rsidRPr="00F12FD4">
        <w:rPr>
          <w:color w:val="000000" w:themeColor="text1"/>
        </w:rPr>
        <w:t xml:space="preserve">internationale </w:t>
      </w:r>
      <w:r w:rsidR="000729E0" w:rsidRPr="00F12FD4">
        <w:rPr>
          <w:color w:val="000000" w:themeColor="text1"/>
        </w:rPr>
        <w:t>archiefwereld voor de</w:t>
      </w:r>
      <w:r w:rsidR="00AA4917" w:rsidRPr="00F12FD4">
        <w:rPr>
          <w:color w:val="000000" w:themeColor="text1"/>
        </w:rPr>
        <w:t xml:space="preserve"> duurzame</w:t>
      </w:r>
      <w:r w:rsidR="000729E0" w:rsidRPr="00F12FD4">
        <w:rPr>
          <w:color w:val="000000" w:themeColor="text1"/>
        </w:rPr>
        <w:t xml:space="preserve"> opslag van digitale stukken, al geschiedt de daadwerkelijke implementatie </w:t>
      </w:r>
      <w:r w:rsidR="002E4D21" w:rsidRPr="00F12FD4">
        <w:rPr>
          <w:color w:val="000000" w:themeColor="text1"/>
        </w:rPr>
        <w:t>versnipper</w:t>
      </w:r>
      <w:r w:rsidR="007A16FE" w:rsidRPr="00F12FD4">
        <w:rPr>
          <w:color w:val="000000" w:themeColor="text1"/>
        </w:rPr>
        <w:t>t</w:t>
      </w:r>
      <w:r w:rsidR="002E4D21" w:rsidRPr="00F12FD4">
        <w:rPr>
          <w:color w:val="000000" w:themeColor="text1"/>
        </w:rPr>
        <w:t xml:space="preserve"> en op veel verschillende manieren</w:t>
      </w:r>
      <w:r w:rsidR="000729E0" w:rsidRPr="00F12FD4">
        <w:rPr>
          <w:color w:val="000000" w:themeColor="text1"/>
        </w:rPr>
        <w:t>. Tijdens de mark</w:t>
      </w:r>
      <w:r w:rsidR="00340046" w:rsidRPr="00F12FD4">
        <w:rPr>
          <w:color w:val="000000" w:themeColor="text1"/>
        </w:rPr>
        <w:t>t</w:t>
      </w:r>
      <w:r w:rsidR="000729E0" w:rsidRPr="00F12FD4">
        <w:rPr>
          <w:color w:val="000000" w:themeColor="text1"/>
        </w:rPr>
        <w:t>verkenning</w:t>
      </w:r>
      <w:r w:rsidR="00340046" w:rsidRPr="00F12FD4">
        <w:rPr>
          <w:color w:val="000000" w:themeColor="text1"/>
        </w:rPr>
        <w:t xml:space="preserve"> gaven alle bevraagde </w:t>
      </w:r>
      <w:r w:rsidR="00D1793D" w:rsidRPr="00F12FD4">
        <w:rPr>
          <w:color w:val="000000" w:themeColor="text1"/>
        </w:rPr>
        <w:t>Nederlandse</w:t>
      </w:r>
      <w:r w:rsidR="00340046" w:rsidRPr="00F12FD4">
        <w:rPr>
          <w:color w:val="000000" w:themeColor="text1"/>
        </w:rPr>
        <w:t xml:space="preserve"> leveranciers aan te </w:t>
      </w:r>
      <w:r w:rsidR="00F72E29" w:rsidRPr="00F12FD4">
        <w:rPr>
          <w:color w:val="000000" w:themeColor="text1"/>
        </w:rPr>
        <w:t xml:space="preserve">werken </w:t>
      </w:r>
      <w:r w:rsidR="00C238BF" w:rsidRPr="00F12FD4">
        <w:rPr>
          <w:color w:val="000000" w:themeColor="text1"/>
        </w:rPr>
        <w:t xml:space="preserve">volgens </w:t>
      </w:r>
      <w:r w:rsidR="00F72E29" w:rsidRPr="00F12FD4">
        <w:rPr>
          <w:color w:val="000000" w:themeColor="text1"/>
        </w:rPr>
        <w:t>het OAIS-Model.</w:t>
      </w:r>
      <w:r w:rsidR="00965AC0" w:rsidRPr="00F12FD4">
        <w:rPr>
          <w:rStyle w:val="Voetnootmarkering"/>
          <w:color w:val="000000" w:themeColor="text1"/>
        </w:rPr>
        <w:footnoteReference w:id="4"/>
      </w:r>
    </w:p>
    <w:p w14:paraId="364DD124" w14:textId="7A58D991" w:rsidR="00046310" w:rsidRPr="00F12FD4" w:rsidRDefault="00F72E29" w:rsidP="00E36AC0">
      <w:pPr>
        <w:ind w:left="1980"/>
        <w:jc w:val="both"/>
        <w:rPr>
          <w:color w:val="000000" w:themeColor="text1"/>
        </w:rPr>
      </w:pPr>
      <w:r w:rsidRPr="00F12FD4">
        <w:rPr>
          <w:color w:val="000000" w:themeColor="text1"/>
        </w:rPr>
        <w:t xml:space="preserve">Het model bestaat uit zes componenten, </w:t>
      </w:r>
      <w:r w:rsidR="000830EA" w:rsidRPr="00F12FD4">
        <w:rPr>
          <w:color w:val="000000" w:themeColor="text1"/>
        </w:rPr>
        <w:t xml:space="preserve">waarvan </w:t>
      </w:r>
      <w:r w:rsidR="00C238BF" w:rsidRPr="00F12FD4">
        <w:rPr>
          <w:color w:val="000000" w:themeColor="text1"/>
        </w:rPr>
        <w:t xml:space="preserve">vooral </w:t>
      </w:r>
      <w:r w:rsidR="000830EA" w:rsidRPr="00F12FD4">
        <w:rPr>
          <w:color w:val="000000" w:themeColor="text1"/>
        </w:rPr>
        <w:t xml:space="preserve">de vier technische </w:t>
      </w:r>
      <w:r w:rsidR="00046310" w:rsidRPr="00F12FD4">
        <w:rPr>
          <w:color w:val="000000" w:themeColor="text1"/>
        </w:rPr>
        <w:t xml:space="preserve">interessant zijn </w:t>
      </w:r>
      <w:r w:rsidR="00C238BF" w:rsidRPr="00F12FD4">
        <w:rPr>
          <w:color w:val="000000" w:themeColor="text1"/>
        </w:rPr>
        <w:t>voor</w:t>
      </w:r>
      <w:r w:rsidR="00046310" w:rsidRPr="00F12FD4">
        <w:rPr>
          <w:color w:val="000000" w:themeColor="text1"/>
        </w:rPr>
        <w:t xml:space="preserve"> Common </w:t>
      </w:r>
      <w:proofErr w:type="spellStart"/>
      <w:r w:rsidR="00046310" w:rsidRPr="00F12FD4">
        <w:rPr>
          <w:color w:val="000000" w:themeColor="text1"/>
        </w:rPr>
        <w:t>Ground</w:t>
      </w:r>
      <w:proofErr w:type="spellEnd"/>
      <w:r w:rsidR="00046310" w:rsidRPr="00F12FD4">
        <w:rPr>
          <w:color w:val="000000" w:themeColor="text1"/>
        </w:rPr>
        <w:t>.</w:t>
      </w:r>
      <w:r w:rsidR="00B91768" w:rsidRPr="00F12FD4">
        <w:rPr>
          <w:color w:val="000000" w:themeColor="text1"/>
        </w:rPr>
        <w:t xml:space="preserve"> Figuur </w:t>
      </w:r>
      <w:r w:rsidR="00C238BF" w:rsidRPr="00F12FD4">
        <w:rPr>
          <w:color w:val="000000" w:themeColor="text1"/>
        </w:rPr>
        <w:t>2</w:t>
      </w:r>
      <w:r w:rsidR="00771B5C" w:rsidRPr="00F12FD4">
        <w:rPr>
          <w:color w:val="000000" w:themeColor="text1"/>
        </w:rPr>
        <w:t xml:space="preserve"> toont een zeer versimpelde weergave van het model, met deze vier technische componenten</w:t>
      </w:r>
      <w:r w:rsidR="00C238BF" w:rsidRPr="00F12FD4">
        <w:rPr>
          <w:color w:val="000000" w:themeColor="text1"/>
        </w:rPr>
        <w:t xml:space="preserve"> (of modules)</w:t>
      </w:r>
      <w:r w:rsidR="00771B5C" w:rsidRPr="00F12FD4">
        <w:rPr>
          <w:color w:val="000000" w:themeColor="text1"/>
        </w:rPr>
        <w:t xml:space="preserve"> in groen.</w:t>
      </w:r>
    </w:p>
    <w:p w14:paraId="6BE05CF6" w14:textId="42DD80E5" w:rsidR="00771B5C" w:rsidRPr="00F12FD4" w:rsidRDefault="004E1047" w:rsidP="00E36AC0">
      <w:pPr>
        <w:ind w:left="1980"/>
        <w:jc w:val="both"/>
        <w:rPr>
          <w:color w:val="000000" w:themeColor="text1"/>
          <w:sz w:val="24"/>
          <w:szCs w:val="24"/>
        </w:rPr>
      </w:pPr>
      <w:r w:rsidRPr="00F12FD4">
        <w:rPr>
          <w:noProof/>
          <w:color w:val="000000" w:themeColor="text1"/>
          <w:sz w:val="24"/>
          <w:szCs w:val="24"/>
        </w:rPr>
        <w:drawing>
          <wp:inline distT="0" distB="0" distL="0" distR="0" wp14:anchorId="352229ED" wp14:editId="20413F5C">
            <wp:extent cx="4742908" cy="3224463"/>
            <wp:effectExtent l="0" t="0" r="63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0609" cy="3236497"/>
                    </a:xfrm>
                    <a:prstGeom prst="rect">
                      <a:avLst/>
                    </a:prstGeom>
                    <a:noFill/>
                    <a:ln>
                      <a:noFill/>
                    </a:ln>
                  </pic:spPr>
                </pic:pic>
              </a:graphicData>
            </a:graphic>
          </wp:inline>
        </w:drawing>
      </w:r>
    </w:p>
    <w:p w14:paraId="2C959A98" w14:textId="1A58F93C" w:rsidR="00046310" w:rsidRPr="00F12FD4" w:rsidRDefault="00771B5C" w:rsidP="006B2E3A">
      <w:pPr>
        <w:ind w:left="1980"/>
        <w:jc w:val="both"/>
        <w:rPr>
          <w:i/>
          <w:iCs/>
          <w:color w:val="000000" w:themeColor="text1"/>
          <w:sz w:val="20"/>
          <w:szCs w:val="20"/>
        </w:rPr>
      </w:pPr>
      <w:r w:rsidRPr="00F12FD4">
        <w:rPr>
          <w:i/>
          <w:iCs/>
          <w:color w:val="000000" w:themeColor="text1"/>
          <w:sz w:val="20"/>
          <w:szCs w:val="20"/>
        </w:rPr>
        <w:t>Figuur</w:t>
      </w:r>
      <w:r w:rsidR="00C238BF" w:rsidRPr="00F12FD4">
        <w:rPr>
          <w:i/>
          <w:iCs/>
          <w:color w:val="000000" w:themeColor="text1"/>
          <w:sz w:val="20"/>
          <w:szCs w:val="20"/>
        </w:rPr>
        <w:t xml:space="preserve"> 2</w:t>
      </w:r>
      <w:r w:rsidR="004E1047" w:rsidRPr="00F12FD4">
        <w:rPr>
          <w:i/>
          <w:iCs/>
          <w:color w:val="000000" w:themeColor="text1"/>
          <w:sz w:val="20"/>
          <w:szCs w:val="20"/>
        </w:rPr>
        <w:t xml:space="preserve"> – Versimpelde weergave van het OAIS-model, met de vier technische componenten in groen</w:t>
      </w:r>
      <w:r w:rsidR="00156A43" w:rsidRPr="00F12FD4">
        <w:rPr>
          <w:i/>
          <w:iCs/>
          <w:color w:val="000000" w:themeColor="text1"/>
          <w:sz w:val="20"/>
          <w:szCs w:val="20"/>
        </w:rPr>
        <w:t>.</w:t>
      </w:r>
      <w:r w:rsidR="00156A43" w:rsidRPr="00F12FD4">
        <w:rPr>
          <w:rStyle w:val="Voetnootmarkering"/>
          <w:i/>
          <w:iCs/>
          <w:color w:val="000000" w:themeColor="text1"/>
          <w:sz w:val="20"/>
          <w:szCs w:val="20"/>
        </w:rPr>
        <w:footnoteReference w:id="5"/>
      </w:r>
    </w:p>
    <w:p w14:paraId="67C8C15F" w14:textId="46599D47" w:rsidR="006B2E3A" w:rsidRPr="00F12FD4" w:rsidRDefault="00C238BF" w:rsidP="006B2E3A">
      <w:pPr>
        <w:ind w:left="1980"/>
        <w:jc w:val="both"/>
        <w:rPr>
          <w:color w:val="000000" w:themeColor="text1"/>
        </w:rPr>
      </w:pPr>
      <w:r w:rsidRPr="00F12FD4">
        <w:rPr>
          <w:color w:val="000000" w:themeColor="text1"/>
        </w:rPr>
        <w:lastRenderedPageBreak/>
        <w:t xml:space="preserve">De </w:t>
      </w:r>
      <w:r w:rsidR="006B2E3A" w:rsidRPr="00F12FD4">
        <w:rPr>
          <w:color w:val="000000" w:themeColor="text1"/>
        </w:rPr>
        <w:t xml:space="preserve">component </w:t>
      </w:r>
      <w:r w:rsidR="006B2E3A" w:rsidRPr="00F12FD4">
        <w:rPr>
          <w:i/>
          <w:iCs/>
          <w:color w:val="000000" w:themeColor="text1"/>
        </w:rPr>
        <w:t>opname</w:t>
      </w:r>
      <w:r w:rsidR="006B2E3A" w:rsidRPr="00F12FD4">
        <w:rPr>
          <w:color w:val="000000" w:themeColor="text1"/>
        </w:rPr>
        <w:t xml:space="preserve"> </w:t>
      </w:r>
      <w:r w:rsidR="00D62974" w:rsidRPr="00F12FD4">
        <w:rPr>
          <w:color w:val="000000" w:themeColor="text1"/>
        </w:rPr>
        <w:t>regelt de ontvangst en verwerking van informatie van de archiefvormer</w:t>
      </w:r>
      <w:r w:rsidRPr="00F12FD4">
        <w:rPr>
          <w:color w:val="000000" w:themeColor="text1"/>
        </w:rPr>
        <w:t xml:space="preserve"> (bijvoorbeeld een gemeente)</w:t>
      </w:r>
      <w:r w:rsidR="00D62974" w:rsidRPr="00F12FD4">
        <w:rPr>
          <w:color w:val="000000" w:themeColor="text1"/>
        </w:rPr>
        <w:t>. H</w:t>
      </w:r>
      <w:r w:rsidRPr="00F12FD4">
        <w:rPr>
          <w:color w:val="000000" w:themeColor="text1"/>
        </w:rPr>
        <w:t>ij</w:t>
      </w:r>
      <w:r w:rsidR="00D62974" w:rsidRPr="00F12FD4">
        <w:rPr>
          <w:color w:val="000000" w:themeColor="text1"/>
        </w:rPr>
        <w:t xml:space="preserve"> </w:t>
      </w:r>
      <w:r w:rsidR="00483505" w:rsidRPr="00F12FD4">
        <w:rPr>
          <w:color w:val="000000" w:themeColor="text1"/>
        </w:rPr>
        <w:t>bereidt hierbij de data voor op duurzame opslag</w:t>
      </w:r>
      <w:r w:rsidR="00EA67B3" w:rsidRPr="00F12FD4">
        <w:rPr>
          <w:color w:val="000000" w:themeColor="text1"/>
        </w:rPr>
        <w:t xml:space="preserve">: over het algemeen wordt het gehele aangeleverde pakketje informatie in de </w:t>
      </w:r>
      <w:r w:rsidR="00EA67B3" w:rsidRPr="00F12FD4">
        <w:rPr>
          <w:i/>
          <w:iCs/>
          <w:color w:val="000000" w:themeColor="text1"/>
        </w:rPr>
        <w:t>duurzame opslag</w:t>
      </w:r>
      <w:r w:rsidR="00EA67B3" w:rsidRPr="00F12FD4">
        <w:rPr>
          <w:color w:val="000000" w:themeColor="text1"/>
        </w:rPr>
        <w:t xml:space="preserve"> opgeslagen, waarna er een kopie van de metadata </w:t>
      </w:r>
      <w:r w:rsidR="00362703" w:rsidRPr="00F12FD4">
        <w:rPr>
          <w:color w:val="000000" w:themeColor="text1"/>
        </w:rPr>
        <w:t xml:space="preserve">naar de </w:t>
      </w:r>
      <w:r w:rsidR="00362703" w:rsidRPr="00F12FD4">
        <w:rPr>
          <w:i/>
          <w:iCs/>
          <w:color w:val="000000" w:themeColor="text1"/>
        </w:rPr>
        <w:t>beheer</w:t>
      </w:r>
      <w:r w:rsidR="00362703" w:rsidRPr="00F12FD4">
        <w:rPr>
          <w:color w:val="000000" w:themeColor="text1"/>
        </w:rPr>
        <w:t xml:space="preserve"> module wordt gestuurd. </w:t>
      </w:r>
      <w:r w:rsidR="003E6546" w:rsidRPr="00F12FD4">
        <w:rPr>
          <w:color w:val="000000" w:themeColor="text1"/>
        </w:rPr>
        <w:t xml:space="preserve">Vanuit deze </w:t>
      </w:r>
      <w:r w:rsidR="003E6546" w:rsidRPr="00F12FD4">
        <w:rPr>
          <w:i/>
          <w:iCs/>
          <w:color w:val="000000" w:themeColor="text1"/>
        </w:rPr>
        <w:t>beheer</w:t>
      </w:r>
      <w:r w:rsidR="003E6546" w:rsidRPr="00F12FD4">
        <w:rPr>
          <w:color w:val="000000" w:themeColor="text1"/>
        </w:rPr>
        <w:t xml:space="preserve"> module wordt de informatie in de </w:t>
      </w:r>
      <w:r w:rsidR="003E6546" w:rsidRPr="00F12FD4">
        <w:rPr>
          <w:i/>
          <w:iCs/>
          <w:color w:val="000000" w:themeColor="text1"/>
        </w:rPr>
        <w:t>duurzame</w:t>
      </w:r>
      <w:r w:rsidR="003E6546" w:rsidRPr="00F12FD4">
        <w:rPr>
          <w:color w:val="000000" w:themeColor="text1"/>
        </w:rPr>
        <w:t xml:space="preserve"> </w:t>
      </w:r>
      <w:r w:rsidR="003E6546" w:rsidRPr="00F12FD4">
        <w:rPr>
          <w:i/>
          <w:iCs/>
          <w:color w:val="000000" w:themeColor="text1"/>
        </w:rPr>
        <w:t>opslag</w:t>
      </w:r>
      <w:r w:rsidR="003E6546" w:rsidRPr="00F12FD4">
        <w:rPr>
          <w:color w:val="000000" w:themeColor="text1"/>
        </w:rPr>
        <w:t xml:space="preserve"> </w:t>
      </w:r>
      <w:r w:rsidR="00996911" w:rsidRPr="00F12FD4">
        <w:rPr>
          <w:color w:val="000000" w:themeColor="text1"/>
        </w:rPr>
        <w:t xml:space="preserve">voorzien van (extra) metadata voor de </w:t>
      </w:r>
      <w:r w:rsidR="00745842" w:rsidRPr="00F12FD4">
        <w:rPr>
          <w:color w:val="000000" w:themeColor="text1"/>
        </w:rPr>
        <w:t xml:space="preserve">langdurige </w:t>
      </w:r>
      <w:r w:rsidR="00996911" w:rsidRPr="00F12FD4">
        <w:rPr>
          <w:color w:val="000000" w:themeColor="text1"/>
        </w:rPr>
        <w:t>ontsluiting en</w:t>
      </w:r>
      <w:r w:rsidR="00745842" w:rsidRPr="00F12FD4">
        <w:rPr>
          <w:color w:val="000000" w:themeColor="text1"/>
        </w:rPr>
        <w:t xml:space="preserve"> het</w:t>
      </w:r>
      <w:r w:rsidR="00996911" w:rsidRPr="00F12FD4">
        <w:rPr>
          <w:color w:val="000000" w:themeColor="text1"/>
        </w:rPr>
        <w:t xml:space="preserve"> </w:t>
      </w:r>
      <w:r w:rsidR="001A4B29" w:rsidRPr="00F12FD4">
        <w:rPr>
          <w:color w:val="000000" w:themeColor="text1"/>
        </w:rPr>
        <w:t xml:space="preserve">(her)gebruik van </w:t>
      </w:r>
      <w:r w:rsidR="00745842" w:rsidRPr="00F12FD4">
        <w:rPr>
          <w:color w:val="000000" w:themeColor="text1"/>
        </w:rPr>
        <w:t>informatie</w:t>
      </w:r>
      <w:r w:rsidR="00971087" w:rsidRPr="00F12FD4">
        <w:rPr>
          <w:color w:val="000000" w:themeColor="text1"/>
        </w:rPr>
        <w:t xml:space="preserve">. </w:t>
      </w:r>
      <w:r w:rsidR="00CA66D6" w:rsidRPr="00F12FD4">
        <w:rPr>
          <w:color w:val="000000" w:themeColor="text1"/>
        </w:rPr>
        <w:t xml:space="preserve">Op basis van deze </w:t>
      </w:r>
      <w:r w:rsidR="009F5B70" w:rsidRPr="00F12FD4">
        <w:rPr>
          <w:color w:val="000000" w:themeColor="text1"/>
        </w:rPr>
        <w:t xml:space="preserve">beheerhandelingen kan de module </w:t>
      </w:r>
      <w:r w:rsidR="009F5B70" w:rsidRPr="00F12FD4">
        <w:rPr>
          <w:i/>
          <w:iCs/>
          <w:color w:val="000000" w:themeColor="text1"/>
        </w:rPr>
        <w:t>toegang</w:t>
      </w:r>
      <w:r w:rsidR="009F5B70" w:rsidRPr="00F12FD4">
        <w:rPr>
          <w:color w:val="000000" w:themeColor="text1"/>
        </w:rPr>
        <w:t xml:space="preserve"> </w:t>
      </w:r>
      <w:r w:rsidRPr="00F12FD4">
        <w:rPr>
          <w:color w:val="000000" w:themeColor="text1"/>
        </w:rPr>
        <w:t>aan</w:t>
      </w:r>
      <w:r w:rsidR="009F5B70" w:rsidRPr="00F12FD4">
        <w:rPr>
          <w:color w:val="000000" w:themeColor="text1"/>
        </w:rPr>
        <w:t xml:space="preserve"> beide</w:t>
      </w:r>
      <w:r w:rsidRPr="00F12FD4">
        <w:rPr>
          <w:color w:val="000000" w:themeColor="text1"/>
        </w:rPr>
        <w:t xml:space="preserve"> andere</w:t>
      </w:r>
      <w:r w:rsidR="009F5B70" w:rsidRPr="00F12FD4">
        <w:rPr>
          <w:color w:val="000000" w:themeColor="text1"/>
        </w:rPr>
        <w:t xml:space="preserve"> modules informatie onttrekken om een weergave te genereren voor een </w:t>
      </w:r>
      <w:r w:rsidR="00B418FB" w:rsidRPr="00F12FD4">
        <w:rPr>
          <w:color w:val="000000" w:themeColor="text1"/>
        </w:rPr>
        <w:t xml:space="preserve">gebruiker. </w:t>
      </w:r>
    </w:p>
    <w:p w14:paraId="08ACC3FA" w14:textId="5560C998" w:rsidR="00E17C33" w:rsidRPr="00F12FD4" w:rsidRDefault="009620C9" w:rsidP="006B2E3A">
      <w:pPr>
        <w:ind w:left="1980"/>
        <w:jc w:val="both"/>
        <w:rPr>
          <w:color w:val="000000" w:themeColor="text1"/>
        </w:rPr>
      </w:pPr>
      <w:r w:rsidRPr="00F12FD4">
        <w:rPr>
          <w:color w:val="000000" w:themeColor="text1"/>
        </w:rPr>
        <w:t xml:space="preserve">Deze modulaire opbouw, waarbij </w:t>
      </w:r>
      <w:r w:rsidR="00E17C33" w:rsidRPr="00F12FD4">
        <w:rPr>
          <w:color w:val="000000" w:themeColor="text1"/>
        </w:rPr>
        <w:t xml:space="preserve">de opslag van </w:t>
      </w:r>
      <w:r w:rsidRPr="00F12FD4">
        <w:rPr>
          <w:color w:val="000000" w:themeColor="text1"/>
        </w:rPr>
        <w:t xml:space="preserve">data los </w:t>
      </w:r>
      <w:r w:rsidR="00C238BF" w:rsidRPr="00F12FD4">
        <w:rPr>
          <w:color w:val="000000" w:themeColor="text1"/>
        </w:rPr>
        <w:t>staat</w:t>
      </w:r>
      <w:r w:rsidRPr="00F12FD4">
        <w:rPr>
          <w:color w:val="000000" w:themeColor="text1"/>
        </w:rPr>
        <w:t xml:space="preserve"> van de verwerking</w:t>
      </w:r>
      <w:r w:rsidR="00CF12DD" w:rsidRPr="00F12FD4">
        <w:rPr>
          <w:color w:val="000000" w:themeColor="text1"/>
        </w:rPr>
        <w:t>,</w:t>
      </w:r>
      <w:r w:rsidR="000B2B2F" w:rsidRPr="00F12FD4">
        <w:rPr>
          <w:color w:val="000000" w:themeColor="text1"/>
        </w:rPr>
        <w:t xml:space="preserve"> bewerking</w:t>
      </w:r>
      <w:r w:rsidR="00CF12DD" w:rsidRPr="00F12FD4">
        <w:rPr>
          <w:color w:val="000000" w:themeColor="text1"/>
        </w:rPr>
        <w:t xml:space="preserve">, </w:t>
      </w:r>
      <w:r w:rsidR="000B2B2F" w:rsidRPr="00F12FD4">
        <w:rPr>
          <w:color w:val="000000" w:themeColor="text1"/>
        </w:rPr>
        <w:t>opname</w:t>
      </w:r>
      <w:r w:rsidR="00E17C33" w:rsidRPr="00F12FD4">
        <w:rPr>
          <w:color w:val="000000" w:themeColor="text1"/>
        </w:rPr>
        <w:t xml:space="preserve"> en ontsluiting</w:t>
      </w:r>
      <w:r w:rsidR="00412F8B" w:rsidRPr="00F12FD4">
        <w:rPr>
          <w:color w:val="000000" w:themeColor="text1"/>
        </w:rPr>
        <w:t>, lijkt</w:t>
      </w:r>
      <w:r w:rsidR="00B26F91" w:rsidRPr="00F12FD4">
        <w:rPr>
          <w:color w:val="000000" w:themeColor="text1"/>
        </w:rPr>
        <w:t xml:space="preserve"> ons inzien</w:t>
      </w:r>
      <w:r w:rsidR="00B520F3" w:rsidRPr="00F12FD4">
        <w:rPr>
          <w:color w:val="000000" w:themeColor="text1"/>
        </w:rPr>
        <w:t>s in</w:t>
      </w:r>
      <w:r w:rsidR="00B26F91" w:rsidRPr="00F12FD4">
        <w:rPr>
          <w:color w:val="000000" w:themeColor="text1"/>
        </w:rPr>
        <w:t xml:space="preserve"> veel opzichten</w:t>
      </w:r>
      <w:r w:rsidR="004C4FAB" w:rsidRPr="00F12FD4">
        <w:rPr>
          <w:color w:val="000000" w:themeColor="text1"/>
        </w:rPr>
        <w:t xml:space="preserve"> op</w:t>
      </w:r>
      <w:r w:rsidR="00B26F91" w:rsidRPr="00F12FD4">
        <w:rPr>
          <w:color w:val="000000" w:themeColor="text1"/>
        </w:rPr>
        <w:t xml:space="preserve"> het Common </w:t>
      </w:r>
      <w:proofErr w:type="spellStart"/>
      <w:r w:rsidR="00B26F91" w:rsidRPr="00F12FD4">
        <w:rPr>
          <w:color w:val="000000" w:themeColor="text1"/>
        </w:rPr>
        <w:t>Ground</w:t>
      </w:r>
      <w:proofErr w:type="spellEnd"/>
      <w:r w:rsidR="00B26F91" w:rsidRPr="00F12FD4">
        <w:rPr>
          <w:color w:val="000000" w:themeColor="text1"/>
        </w:rPr>
        <w:t xml:space="preserve"> model</w:t>
      </w:r>
      <w:r w:rsidR="00B520F3" w:rsidRPr="00F12FD4">
        <w:rPr>
          <w:color w:val="000000" w:themeColor="text1"/>
        </w:rPr>
        <w:t>.</w:t>
      </w:r>
      <w:r w:rsidR="00F46AC1" w:rsidRPr="00F12FD4">
        <w:rPr>
          <w:color w:val="000000" w:themeColor="text1"/>
        </w:rPr>
        <w:t xml:space="preserve"> </w:t>
      </w:r>
      <w:r w:rsidR="000F3A94" w:rsidRPr="00F12FD4">
        <w:rPr>
          <w:color w:val="000000" w:themeColor="text1"/>
        </w:rPr>
        <w:t>In figuur</w:t>
      </w:r>
      <w:r w:rsidR="00F46AC1" w:rsidRPr="00F12FD4">
        <w:rPr>
          <w:color w:val="000000" w:themeColor="text1"/>
        </w:rPr>
        <w:t xml:space="preserve"> </w:t>
      </w:r>
      <w:r w:rsidR="00C238BF" w:rsidRPr="00F12FD4">
        <w:rPr>
          <w:color w:val="000000" w:themeColor="text1"/>
        </w:rPr>
        <w:t>3</w:t>
      </w:r>
      <w:r w:rsidR="00B26F91" w:rsidRPr="00F12FD4">
        <w:rPr>
          <w:color w:val="000000" w:themeColor="text1"/>
        </w:rPr>
        <w:t xml:space="preserve"> </w:t>
      </w:r>
      <w:r w:rsidR="004403F0" w:rsidRPr="00F12FD4">
        <w:rPr>
          <w:color w:val="000000" w:themeColor="text1"/>
        </w:rPr>
        <w:t xml:space="preserve">hebben we de componenten, met </w:t>
      </w:r>
      <w:r w:rsidR="00E17C33" w:rsidRPr="00F12FD4">
        <w:rPr>
          <w:color w:val="000000" w:themeColor="text1"/>
        </w:rPr>
        <w:t xml:space="preserve">kleine </w:t>
      </w:r>
      <w:r w:rsidR="004403F0" w:rsidRPr="00F12FD4">
        <w:rPr>
          <w:color w:val="000000" w:themeColor="text1"/>
        </w:rPr>
        <w:t xml:space="preserve">wijzigingen, op het vijflagen model van Common </w:t>
      </w:r>
      <w:proofErr w:type="spellStart"/>
      <w:r w:rsidR="004403F0" w:rsidRPr="00F12FD4">
        <w:rPr>
          <w:color w:val="000000" w:themeColor="text1"/>
        </w:rPr>
        <w:t>Ground</w:t>
      </w:r>
      <w:proofErr w:type="spellEnd"/>
      <w:r w:rsidR="004403F0" w:rsidRPr="00F12FD4">
        <w:rPr>
          <w:color w:val="000000" w:themeColor="text1"/>
        </w:rPr>
        <w:t xml:space="preserve"> geprojecteerd. </w:t>
      </w:r>
      <w:r w:rsidR="00E83B1A" w:rsidRPr="00F12FD4">
        <w:rPr>
          <w:color w:val="000000" w:themeColor="text1"/>
        </w:rPr>
        <w:t xml:space="preserve">Hierbij is uitgegaan van een ‘klassieke’ </w:t>
      </w:r>
      <w:r w:rsidR="00195FAC" w:rsidRPr="00F12FD4">
        <w:rPr>
          <w:color w:val="000000" w:themeColor="text1"/>
        </w:rPr>
        <w:t xml:space="preserve">overbrenging, zoals wellicht nog zal voorkomen bij de opname van informatie uit systemen die zelf niet geschikt zijn voor bewaren bij de bron. </w:t>
      </w:r>
      <w:r w:rsidR="005F7F1E" w:rsidRPr="00F12FD4">
        <w:rPr>
          <w:color w:val="000000" w:themeColor="text1"/>
        </w:rPr>
        <w:t>Het feit dat deze modellen</w:t>
      </w:r>
      <w:r w:rsidR="005A61BE" w:rsidRPr="00F12FD4">
        <w:rPr>
          <w:color w:val="000000" w:themeColor="text1"/>
        </w:rPr>
        <w:t xml:space="preserve"> theoretisch</w:t>
      </w:r>
      <w:r w:rsidR="005F7F1E" w:rsidRPr="00F12FD4">
        <w:rPr>
          <w:color w:val="000000" w:themeColor="text1"/>
        </w:rPr>
        <w:t xml:space="preserve"> zo goed op elkaar aan</w:t>
      </w:r>
      <w:r w:rsidR="00E17C33" w:rsidRPr="00F12FD4">
        <w:rPr>
          <w:color w:val="000000" w:themeColor="text1"/>
        </w:rPr>
        <w:t>sluiten</w:t>
      </w:r>
      <w:r w:rsidR="005A61BE" w:rsidRPr="00F12FD4">
        <w:rPr>
          <w:color w:val="000000" w:themeColor="text1"/>
        </w:rPr>
        <w:t xml:space="preserve"> maakt duidelijk dat een </w:t>
      </w:r>
      <w:r w:rsidR="00C76675" w:rsidRPr="00F12FD4">
        <w:rPr>
          <w:color w:val="000000" w:themeColor="text1"/>
        </w:rPr>
        <w:t xml:space="preserve">e-depot </w:t>
      </w:r>
      <w:r w:rsidR="00CB08CC" w:rsidRPr="00F12FD4">
        <w:rPr>
          <w:color w:val="000000" w:themeColor="text1"/>
        </w:rPr>
        <w:t xml:space="preserve">uit </w:t>
      </w:r>
      <w:proofErr w:type="spellStart"/>
      <w:r w:rsidR="00CB08CC" w:rsidRPr="00F12FD4">
        <w:rPr>
          <w:color w:val="000000" w:themeColor="text1"/>
        </w:rPr>
        <w:t>archivistisch</w:t>
      </w:r>
      <w:proofErr w:type="spellEnd"/>
      <w:r w:rsidR="00CB08CC" w:rsidRPr="00F12FD4">
        <w:rPr>
          <w:color w:val="000000" w:themeColor="text1"/>
        </w:rPr>
        <w:t xml:space="preserve"> oogpunt goed zou kunnen passen binnen</w:t>
      </w:r>
      <w:r w:rsidR="00C70B42" w:rsidRPr="00F12FD4">
        <w:rPr>
          <w:color w:val="000000" w:themeColor="text1"/>
        </w:rPr>
        <w:t xml:space="preserve"> de technische realisatie van Common </w:t>
      </w:r>
      <w:proofErr w:type="spellStart"/>
      <w:r w:rsidR="00C70B42" w:rsidRPr="00F12FD4">
        <w:rPr>
          <w:color w:val="000000" w:themeColor="text1"/>
        </w:rPr>
        <w:t>Ground</w:t>
      </w:r>
      <w:proofErr w:type="spellEnd"/>
      <w:r w:rsidR="00C70B42" w:rsidRPr="00F12FD4">
        <w:rPr>
          <w:color w:val="000000" w:themeColor="text1"/>
        </w:rPr>
        <w:t>.</w:t>
      </w:r>
    </w:p>
    <w:p w14:paraId="78917686" w14:textId="01FD3A0B" w:rsidR="00B87944" w:rsidRPr="00F12FD4" w:rsidRDefault="001B2DF6" w:rsidP="006B2E3A">
      <w:pPr>
        <w:ind w:left="1980"/>
        <w:jc w:val="both"/>
        <w:rPr>
          <w:color w:val="000000" w:themeColor="text1"/>
          <w:sz w:val="20"/>
          <w:szCs w:val="20"/>
        </w:rPr>
      </w:pPr>
      <w:r w:rsidRPr="00F12FD4">
        <w:rPr>
          <w:noProof/>
          <w:color w:val="000000" w:themeColor="text1"/>
          <w:sz w:val="20"/>
          <w:szCs w:val="20"/>
        </w:rPr>
        <w:drawing>
          <wp:inline distT="0" distB="0" distL="0" distR="0" wp14:anchorId="7A8318F7" wp14:editId="6AA86A92">
            <wp:extent cx="5252176" cy="3580364"/>
            <wp:effectExtent l="0" t="0" r="5715" b="127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277" cy="3589977"/>
                    </a:xfrm>
                    <a:prstGeom prst="rect">
                      <a:avLst/>
                    </a:prstGeom>
                    <a:noFill/>
                    <a:ln>
                      <a:noFill/>
                    </a:ln>
                  </pic:spPr>
                </pic:pic>
              </a:graphicData>
            </a:graphic>
          </wp:inline>
        </w:drawing>
      </w:r>
    </w:p>
    <w:p w14:paraId="4E446F51" w14:textId="4C5B8CA7" w:rsidR="00B87944" w:rsidRPr="00F12FD4" w:rsidRDefault="00B87944" w:rsidP="006B2E3A">
      <w:pPr>
        <w:ind w:left="1980"/>
        <w:jc w:val="both"/>
        <w:rPr>
          <w:i/>
          <w:iCs/>
          <w:color w:val="000000" w:themeColor="text1"/>
          <w:sz w:val="20"/>
          <w:szCs w:val="20"/>
        </w:rPr>
      </w:pPr>
      <w:r w:rsidRPr="00F12FD4">
        <w:rPr>
          <w:i/>
          <w:iCs/>
          <w:color w:val="000000" w:themeColor="text1"/>
          <w:sz w:val="20"/>
          <w:szCs w:val="20"/>
        </w:rPr>
        <w:t xml:space="preserve">Figuur </w:t>
      </w:r>
      <w:r w:rsidR="00C238BF" w:rsidRPr="00F12FD4">
        <w:rPr>
          <w:i/>
          <w:iCs/>
          <w:color w:val="000000" w:themeColor="text1"/>
          <w:sz w:val="20"/>
          <w:szCs w:val="20"/>
        </w:rPr>
        <w:t>3</w:t>
      </w:r>
      <w:r w:rsidRPr="00F12FD4">
        <w:rPr>
          <w:i/>
          <w:iCs/>
          <w:color w:val="000000" w:themeColor="text1"/>
          <w:sz w:val="20"/>
          <w:szCs w:val="20"/>
        </w:rPr>
        <w:t xml:space="preserve"> </w:t>
      </w:r>
      <w:r w:rsidR="00B41DB5" w:rsidRPr="00F12FD4">
        <w:rPr>
          <w:i/>
          <w:iCs/>
          <w:color w:val="000000" w:themeColor="text1"/>
          <w:sz w:val="20"/>
          <w:szCs w:val="20"/>
        </w:rPr>
        <w:t>–</w:t>
      </w:r>
      <w:r w:rsidRPr="00F12FD4">
        <w:rPr>
          <w:i/>
          <w:iCs/>
          <w:color w:val="000000" w:themeColor="text1"/>
          <w:sz w:val="20"/>
          <w:szCs w:val="20"/>
        </w:rPr>
        <w:t xml:space="preserve"> </w:t>
      </w:r>
      <w:r w:rsidR="00B41DB5" w:rsidRPr="00F12FD4">
        <w:rPr>
          <w:i/>
          <w:iCs/>
          <w:color w:val="000000" w:themeColor="text1"/>
          <w:sz w:val="20"/>
          <w:szCs w:val="20"/>
        </w:rPr>
        <w:t xml:space="preserve">De versimpelde OAIS-weergave geprojecteerd op het 5-lagen model van Common </w:t>
      </w:r>
      <w:proofErr w:type="spellStart"/>
      <w:r w:rsidR="00B41DB5" w:rsidRPr="00F12FD4">
        <w:rPr>
          <w:i/>
          <w:iCs/>
          <w:color w:val="000000" w:themeColor="text1"/>
          <w:sz w:val="20"/>
          <w:szCs w:val="20"/>
        </w:rPr>
        <w:t>Ground</w:t>
      </w:r>
      <w:proofErr w:type="spellEnd"/>
    </w:p>
    <w:p w14:paraId="7E6160E0" w14:textId="63715113" w:rsidR="0048312C" w:rsidRPr="00F12FD4" w:rsidRDefault="005E3AFB" w:rsidP="0048312C">
      <w:pPr>
        <w:ind w:left="1980"/>
        <w:jc w:val="both"/>
        <w:rPr>
          <w:color w:val="000000" w:themeColor="text1"/>
        </w:rPr>
      </w:pPr>
      <w:r w:rsidRPr="00F12FD4">
        <w:rPr>
          <w:color w:val="000000" w:themeColor="text1"/>
        </w:rPr>
        <w:t xml:space="preserve">Common </w:t>
      </w:r>
      <w:proofErr w:type="spellStart"/>
      <w:r w:rsidRPr="00F12FD4">
        <w:rPr>
          <w:color w:val="000000" w:themeColor="text1"/>
        </w:rPr>
        <w:t>Ground</w:t>
      </w:r>
      <w:proofErr w:type="spellEnd"/>
      <w:r w:rsidRPr="00F12FD4">
        <w:rPr>
          <w:color w:val="000000" w:themeColor="text1"/>
        </w:rPr>
        <w:t xml:space="preserve"> is meer dan </w:t>
      </w:r>
      <w:r w:rsidR="00C238BF" w:rsidRPr="00F12FD4">
        <w:rPr>
          <w:color w:val="000000" w:themeColor="text1"/>
        </w:rPr>
        <w:t xml:space="preserve">alleen </w:t>
      </w:r>
      <w:r w:rsidRPr="00F12FD4">
        <w:rPr>
          <w:color w:val="000000" w:themeColor="text1"/>
        </w:rPr>
        <w:t>een architectuur</w:t>
      </w:r>
      <w:r w:rsidR="00C238BF" w:rsidRPr="00F12FD4">
        <w:rPr>
          <w:color w:val="000000" w:themeColor="text1"/>
        </w:rPr>
        <w:t>tekening</w:t>
      </w:r>
      <w:r w:rsidRPr="00F12FD4">
        <w:rPr>
          <w:color w:val="000000" w:themeColor="text1"/>
        </w:rPr>
        <w:t xml:space="preserve">. In het volgende deel van deze memo gaan we kort in op de principes die centraal staan in Common </w:t>
      </w:r>
      <w:proofErr w:type="spellStart"/>
      <w:r w:rsidRPr="00F12FD4">
        <w:rPr>
          <w:color w:val="000000" w:themeColor="text1"/>
        </w:rPr>
        <w:t>Ground</w:t>
      </w:r>
      <w:proofErr w:type="spellEnd"/>
      <w:r w:rsidRPr="00F12FD4">
        <w:rPr>
          <w:color w:val="000000" w:themeColor="text1"/>
        </w:rPr>
        <w:t>, en hoe deze principes kansen bieden om vraagstukken uit de pilot e-depot te beantwoorden</w:t>
      </w:r>
      <w:r w:rsidR="00143FF4" w:rsidRPr="00F12FD4">
        <w:rPr>
          <w:color w:val="000000" w:themeColor="text1"/>
        </w:rPr>
        <w:t>.</w:t>
      </w:r>
    </w:p>
    <w:p w14:paraId="25C6412E" w14:textId="38AEB6FC" w:rsidR="00AA18AC" w:rsidRPr="00F12FD4" w:rsidRDefault="00AA18AC">
      <w:pPr>
        <w:rPr>
          <w:color w:val="000000" w:themeColor="text1"/>
        </w:rPr>
      </w:pPr>
      <w:r w:rsidRPr="00F12FD4">
        <w:rPr>
          <w:color w:val="000000" w:themeColor="text1"/>
        </w:rPr>
        <w:br w:type="page"/>
      </w:r>
    </w:p>
    <w:p w14:paraId="181E7FA3" w14:textId="779D9B02" w:rsidR="00051439" w:rsidRPr="00F12FD4" w:rsidRDefault="00AA5429" w:rsidP="0048312C">
      <w:pPr>
        <w:pStyle w:val="Lijstalinea"/>
        <w:numPr>
          <w:ilvl w:val="0"/>
          <w:numId w:val="12"/>
        </w:numPr>
        <w:jc w:val="both"/>
        <w:rPr>
          <w:color w:val="000000" w:themeColor="text1"/>
          <w:sz w:val="24"/>
          <w:szCs w:val="24"/>
        </w:rPr>
      </w:pPr>
      <w:r w:rsidRPr="00F12FD4">
        <w:rPr>
          <w:b/>
          <w:bCs/>
          <w:color w:val="6C5A82"/>
          <w:sz w:val="28"/>
          <w:szCs w:val="28"/>
        </w:rPr>
        <w:lastRenderedPageBreak/>
        <w:t xml:space="preserve">Common </w:t>
      </w:r>
      <w:proofErr w:type="spellStart"/>
      <w:r w:rsidRPr="00F12FD4">
        <w:rPr>
          <w:b/>
          <w:bCs/>
          <w:color w:val="6C5A82"/>
          <w:sz w:val="28"/>
          <w:szCs w:val="28"/>
        </w:rPr>
        <w:t>Ground</w:t>
      </w:r>
      <w:proofErr w:type="spellEnd"/>
      <w:r w:rsidRPr="00F12FD4">
        <w:rPr>
          <w:b/>
          <w:bCs/>
          <w:color w:val="6C5A82"/>
          <w:sz w:val="28"/>
          <w:szCs w:val="28"/>
        </w:rPr>
        <w:t xml:space="preserve"> principes </w:t>
      </w:r>
      <w:r w:rsidR="00760600" w:rsidRPr="00F12FD4">
        <w:rPr>
          <w:b/>
          <w:bCs/>
          <w:color w:val="6C5A82"/>
          <w:sz w:val="28"/>
          <w:szCs w:val="28"/>
        </w:rPr>
        <w:t>en het e-depot</w:t>
      </w:r>
    </w:p>
    <w:p w14:paraId="0B4A7F27" w14:textId="24E505EF" w:rsidR="0018064A" w:rsidRPr="00F12FD4" w:rsidRDefault="00B81DDD" w:rsidP="009014F2">
      <w:pPr>
        <w:ind w:left="1980"/>
        <w:jc w:val="both"/>
        <w:rPr>
          <w:color w:val="000000" w:themeColor="text1"/>
        </w:rPr>
      </w:pPr>
      <w:r w:rsidRPr="00F12FD4">
        <w:rPr>
          <w:color w:val="000000" w:themeColor="text1"/>
        </w:rPr>
        <w:t xml:space="preserve">Voor Common </w:t>
      </w:r>
      <w:proofErr w:type="spellStart"/>
      <w:r w:rsidRPr="00F12FD4">
        <w:rPr>
          <w:color w:val="000000" w:themeColor="text1"/>
        </w:rPr>
        <w:t>Ground</w:t>
      </w:r>
      <w:proofErr w:type="spellEnd"/>
      <w:r w:rsidRPr="00F12FD4">
        <w:rPr>
          <w:color w:val="000000" w:themeColor="text1"/>
        </w:rPr>
        <w:t xml:space="preserve"> zijn twee verzamelingen principes opgesteld</w:t>
      </w:r>
      <w:r w:rsidR="00C238BF" w:rsidRPr="00F12FD4">
        <w:rPr>
          <w:color w:val="000000" w:themeColor="text1"/>
        </w:rPr>
        <w:t>.</w:t>
      </w:r>
      <w:r w:rsidRPr="00F12FD4">
        <w:rPr>
          <w:color w:val="000000" w:themeColor="text1"/>
        </w:rPr>
        <w:t xml:space="preserve"> </w:t>
      </w:r>
      <w:r w:rsidR="00C238BF" w:rsidRPr="00F12FD4">
        <w:rPr>
          <w:color w:val="000000" w:themeColor="text1"/>
        </w:rPr>
        <w:t>D</w:t>
      </w:r>
      <w:r w:rsidRPr="00F12FD4">
        <w:rPr>
          <w:color w:val="000000" w:themeColor="text1"/>
        </w:rPr>
        <w:t xml:space="preserve">e architectuurprincipes </w:t>
      </w:r>
      <w:r w:rsidR="00C238BF" w:rsidRPr="00F12FD4">
        <w:rPr>
          <w:color w:val="000000" w:themeColor="text1"/>
        </w:rPr>
        <w:t>vormen de basis waarop</w:t>
      </w:r>
      <w:r w:rsidR="005D7B43" w:rsidRPr="00F12FD4">
        <w:rPr>
          <w:color w:val="000000" w:themeColor="text1"/>
        </w:rPr>
        <w:t xml:space="preserve"> het nieuwe gegevenslandschap wordt inger</w:t>
      </w:r>
      <w:r w:rsidR="00174D22" w:rsidRPr="00F12FD4">
        <w:rPr>
          <w:color w:val="000000" w:themeColor="text1"/>
        </w:rPr>
        <w:t>i</w:t>
      </w:r>
      <w:r w:rsidR="005D7B43" w:rsidRPr="00F12FD4">
        <w:rPr>
          <w:color w:val="000000" w:themeColor="text1"/>
        </w:rPr>
        <w:t>cht</w:t>
      </w:r>
      <w:r w:rsidR="00C238BF" w:rsidRPr="00F12FD4">
        <w:rPr>
          <w:color w:val="000000" w:themeColor="text1"/>
        </w:rPr>
        <w:t>.</w:t>
      </w:r>
      <w:r w:rsidR="005D7B43" w:rsidRPr="00F12FD4">
        <w:rPr>
          <w:color w:val="000000" w:themeColor="text1"/>
        </w:rPr>
        <w:t xml:space="preserve"> </w:t>
      </w:r>
      <w:r w:rsidR="00C238BF" w:rsidRPr="00F12FD4">
        <w:rPr>
          <w:color w:val="000000" w:themeColor="text1"/>
        </w:rPr>
        <w:t>De</w:t>
      </w:r>
      <w:r w:rsidR="005D7B43" w:rsidRPr="00F12FD4">
        <w:rPr>
          <w:color w:val="000000" w:themeColor="text1"/>
        </w:rPr>
        <w:t xml:space="preserve"> </w:t>
      </w:r>
      <w:r w:rsidR="00990BE8" w:rsidRPr="00F12FD4">
        <w:rPr>
          <w:color w:val="000000" w:themeColor="text1"/>
        </w:rPr>
        <w:t xml:space="preserve">realisatieprincipes </w:t>
      </w:r>
      <w:r w:rsidR="00C238BF" w:rsidRPr="00F12FD4">
        <w:rPr>
          <w:color w:val="000000" w:themeColor="text1"/>
        </w:rPr>
        <w:t>zijn</w:t>
      </w:r>
      <w:r w:rsidR="00990BE8" w:rsidRPr="00F12FD4">
        <w:rPr>
          <w:color w:val="000000" w:themeColor="text1"/>
        </w:rPr>
        <w:t xml:space="preserve"> </w:t>
      </w:r>
      <w:r w:rsidR="00970C6B" w:rsidRPr="00F12FD4">
        <w:rPr>
          <w:color w:val="000000" w:themeColor="text1"/>
        </w:rPr>
        <w:t>leidend voor</w:t>
      </w:r>
      <w:r w:rsidR="0030239A" w:rsidRPr="00F12FD4">
        <w:rPr>
          <w:color w:val="000000" w:themeColor="text1"/>
        </w:rPr>
        <w:t xml:space="preserve"> de wijze waarop</w:t>
      </w:r>
      <w:r w:rsidR="00970C6B" w:rsidRPr="00F12FD4">
        <w:rPr>
          <w:color w:val="000000" w:themeColor="text1"/>
        </w:rPr>
        <w:t xml:space="preserve"> projecte</w:t>
      </w:r>
      <w:r w:rsidR="0030239A" w:rsidRPr="00F12FD4">
        <w:rPr>
          <w:color w:val="000000" w:themeColor="text1"/>
        </w:rPr>
        <w:t>n</w:t>
      </w:r>
      <w:r w:rsidR="00C238BF" w:rsidRPr="00F12FD4">
        <w:rPr>
          <w:color w:val="000000" w:themeColor="text1"/>
        </w:rPr>
        <w:t>,</w:t>
      </w:r>
      <w:r w:rsidR="00970C6B" w:rsidRPr="00F12FD4">
        <w:rPr>
          <w:color w:val="000000" w:themeColor="text1"/>
        </w:rPr>
        <w:t xml:space="preserve"> onder</w:t>
      </w:r>
      <w:r w:rsidR="0030239A" w:rsidRPr="00F12FD4">
        <w:rPr>
          <w:color w:val="000000" w:themeColor="text1"/>
        </w:rPr>
        <w:t xml:space="preserve"> de</w:t>
      </w:r>
      <w:r w:rsidR="00970C6B" w:rsidRPr="00F12FD4">
        <w:rPr>
          <w:color w:val="000000" w:themeColor="text1"/>
        </w:rPr>
        <w:t xml:space="preserve"> regie van het programma</w:t>
      </w:r>
      <w:r w:rsidR="00C238BF" w:rsidRPr="00F12FD4">
        <w:rPr>
          <w:color w:val="000000" w:themeColor="text1"/>
        </w:rPr>
        <w:t>,</w:t>
      </w:r>
      <w:r w:rsidR="00970C6B" w:rsidRPr="00F12FD4">
        <w:rPr>
          <w:color w:val="000000" w:themeColor="text1"/>
        </w:rPr>
        <w:t xml:space="preserve"> worden uitgevoerd. </w:t>
      </w:r>
    </w:p>
    <w:p w14:paraId="2EFC33AA" w14:textId="77777777" w:rsidR="00625BB9" w:rsidRPr="00F12FD4" w:rsidRDefault="00625BB9" w:rsidP="009014F2">
      <w:pPr>
        <w:ind w:left="1980"/>
        <w:jc w:val="both"/>
        <w:rPr>
          <w:i/>
          <w:iCs/>
          <w:color w:val="000000" w:themeColor="text1"/>
          <w:sz w:val="20"/>
          <w:szCs w:val="20"/>
        </w:rPr>
      </w:pPr>
    </w:p>
    <w:p w14:paraId="224F2962" w14:textId="77777777" w:rsidR="0048312C" w:rsidRPr="00F12FD4" w:rsidRDefault="0048312C" w:rsidP="009014F2">
      <w:pPr>
        <w:ind w:left="1980"/>
        <w:jc w:val="both"/>
        <w:rPr>
          <w:i/>
          <w:iCs/>
          <w:color w:val="000000" w:themeColor="text1"/>
          <w:sz w:val="20"/>
          <w:szCs w:val="20"/>
        </w:rPr>
      </w:pPr>
    </w:p>
    <w:p w14:paraId="62AC0C17" w14:textId="00178B7F" w:rsidR="0048312C" w:rsidRPr="00F12FD4" w:rsidRDefault="0048312C" w:rsidP="009014F2">
      <w:pPr>
        <w:ind w:left="1980"/>
        <w:jc w:val="both"/>
        <w:rPr>
          <w:i/>
          <w:iCs/>
          <w:color w:val="000000" w:themeColor="text1"/>
          <w:sz w:val="20"/>
          <w:szCs w:val="20"/>
        </w:rPr>
      </w:pPr>
      <w:r w:rsidRPr="00F12FD4">
        <w:rPr>
          <w:noProof/>
        </w:rPr>
        <w:drawing>
          <wp:anchor distT="0" distB="0" distL="114300" distR="114300" simplePos="0" relativeHeight="251658240" behindDoc="1" locked="0" layoutInCell="1" allowOverlap="1" wp14:anchorId="4A24D6FA" wp14:editId="6BA5681B">
            <wp:simplePos x="0" y="0"/>
            <wp:positionH relativeFrom="column">
              <wp:posOffset>480252</wp:posOffset>
            </wp:positionH>
            <wp:positionV relativeFrom="paragraph">
              <wp:posOffset>-543799</wp:posOffset>
            </wp:positionV>
            <wp:extent cx="6383655" cy="215900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383655" cy="2159000"/>
                    </a:xfrm>
                    <a:prstGeom prst="rect">
                      <a:avLst/>
                    </a:prstGeom>
                  </pic:spPr>
                </pic:pic>
              </a:graphicData>
            </a:graphic>
          </wp:anchor>
        </w:drawing>
      </w:r>
    </w:p>
    <w:p w14:paraId="65EA5EB5" w14:textId="50BC5098" w:rsidR="0048312C" w:rsidRPr="00F12FD4" w:rsidRDefault="0048312C" w:rsidP="009014F2">
      <w:pPr>
        <w:ind w:left="1980"/>
        <w:jc w:val="both"/>
        <w:rPr>
          <w:i/>
          <w:iCs/>
          <w:color w:val="000000" w:themeColor="text1"/>
          <w:sz w:val="20"/>
          <w:szCs w:val="20"/>
        </w:rPr>
      </w:pPr>
    </w:p>
    <w:p w14:paraId="196CF4D6" w14:textId="203E8ECB" w:rsidR="0048312C" w:rsidRPr="00F12FD4" w:rsidRDefault="0048312C" w:rsidP="009014F2">
      <w:pPr>
        <w:ind w:left="1980"/>
        <w:jc w:val="both"/>
        <w:rPr>
          <w:i/>
          <w:iCs/>
          <w:color w:val="000000" w:themeColor="text1"/>
          <w:sz w:val="20"/>
          <w:szCs w:val="20"/>
        </w:rPr>
      </w:pPr>
    </w:p>
    <w:p w14:paraId="156B36CF" w14:textId="12FB7EE5" w:rsidR="0048312C" w:rsidRPr="00F12FD4" w:rsidRDefault="0048312C" w:rsidP="009014F2">
      <w:pPr>
        <w:ind w:left="1980"/>
        <w:jc w:val="both"/>
        <w:rPr>
          <w:i/>
          <w:iCs/>
          <w:color w:val="000000" w:themeColor="text1"/>
          <w:sz w:val="20"/>
          <w:szCs w:val="20"/>
        </w:rPr>
      </w:pPr>
    </w:p>
    <w:p w14:paraId="38DFC278" w14:textId="015F2F35" w:rsidR="0048312C" w:rsidRPr="00F12FD4" w:rsidRDefault="0048312C" w:rsidP="009014F2">
      <w:pPr>
        <w:ind w:left="1980"/>
        <w:jc w:val="both"/>
        <w:rPr>
          <w:i/>
          <w:iCs/>
          <w:color w:val="000000" w:themeColor="text1"/>
          <w:sz w:val="20"/>
          <w:szCs w:val="20"/>
        </w:rPr>
      </w:pPr>
    </w:p>
    <w:p w14:paraId="4D6A35A3" w14:textId="72AE104B" w:rsidR="0048312C" w:rsidRPr="00F12FD4" w:rsidRDefault="0048312C" w:rsidP="009014F2">
      <w:pPr>
        <w:ind w:left="1980"/>
        <w:jc w:val="both"/>
        <w:rPr>
          <w:i/>
          <w:iCs/>
          <w:color w:val="000000" w:themeColor="text1"/>
          <w:sz w:val="20"/>
          <w:szCs w:val="20"/>
        </w:rPr>
      </w:pPr>
    </w:p>
    <w:p w14:paraId="64088E7B" w14:textId="37769696" w:rsidR="0018064A" w:rsidRPr="00F12FD4" w:rsidRDefault="0018064A" w:rsidP="009014F2">
      <w:pPr>
        <w:ind w:left="1980"/>
        <w:jc w:val="both"/>
        <w:rPr>
          <w:i/>
          <w:iCs/>
          <w:color w:val="000000" w:themeColor="text1"/>
          <w:sz w:val="20"/>
          <w:szCs w:val="20"/>
          <w:lang w:val="en-US"/>
        </w:rPr>
      </w:pPr>
      <w:proofErr w:type="spellStart"/>
      <w:r w:rsidRPr="00F12FD4">
        <w:rPr>
          <w:i/>
          <w:iCs/>
          <w:color w:val="000000" w:themeColor="text1"/>
          <w:sz w:val="20"/>
          <w:szCs w:val="20"/>
          <w:lang w:val="en-US"/>
        </w:rPr>
        <w:t>Figuur</w:t>
      </w:r>
      <w:proofErr w:type="spellEnd"/>
      <w:r w:rsidRPr="00F12FD4">
        <w:rPr>
          <w:i/>
          <w:iCs/>
          <w:color w:val="000000" w:themeColor="text1"/>
          <w:sz w:val="20"/>
          <w:szCs w:val="20"/>
          <w:lang w:val="en-US"/>
        </w:rPr>
        <w:t xml:space="preserve"> </w:t>
      </w:r>
      <w:r w:rsidR="00C238BF" w:rsidRPr="00F12FD4">
        <w:rPr>
          <w:i/>
          <w:iCs/>
          <w:color w:val="000000" w:themeColor="text1"/>
          <w:sz w:val="20"/>
          <w:szCs w:val="20"/>
          <w:lang w:val="en-US"/>
        </w:rPr>
        <w:t>4</w:t>
      </w:r>
      <w:r w:rsidRPr="00F12FD4">
        <w:rPr>
          <w:i/>
          <w:iCs/>
          <w:color w:val="000000" w:themeColor="text1"/>
          <w:sz w:val="20"/>
          <w:szCs w:val="20"/>
          <w:lang w:val="en-US"/>
        </w:rPr>
        <w:t xml:space="preserve"> – </w:t>
      </w:r>
      <w:proofErr w:type="spellStart"/>
      <w:r w:rsidRPr="00F12FD4">
        <w:rPr>
          <w:i/>
          <w:iCs/>
          <w:color w:val="000000" w:themeColor="text1"/>
          <w:sz w:val="20"/>
          <w:szCs w:val="20"/>
          <w:lang w:val="en-US"/>
        </w:rPr>
        <w:t>Architectuurprincipes</w:t>
      </w:r>
      <w:proofErr w:type="spellEnd"/>
      <w:r w:rsidRPr="00F12FD4">
        <w:rPr>
          <w:i/>
          <w:iCs/>
          <w:color w:val="000000" w:themeColor="text1"/>
          <w:sz w:val="20"/>
          <w:szCs w:val="20"/>
          <w:lang w:val="en-US"/>
        </w:rPr>
        <w:t xml:space="preserve"> Common Ground, via commonground.nl</w:t>
      </w:r>
    </w:p>
    <w:p w14:paraId="7784C19A" w14:textId="668C0D49" w:rsidR="002A5B17" w:rsidRPr="00F12FD4" w:rsidRDefault="002A5B17" w:rsidP="00DD4E6E">
      <w:pPr>
        <w:ind w:left="1980"/>
        <w:jc w:val="both"/>
        <w:rPr>
          <w:color w:val="000000" w:themeColor="text1"/>
        </w:rPr>
      </w:pPr>
      <w:r w:rsidRPr="00F12FD4">
        <w:rPr>
          <w:color w:val="000000" w:themeColor="text1"/>
        </w:rPr>
        <w:t xml:space="preserve">Centraal in de </w:t>
      </w:r>
      <w:proofErr w:type="spellStart"/>
      <w:r w:rsidRPr="00F12FD4">
        <w:rPr>
          <w:color w:val="000000" w:themeColor="text1"/>
        </w:rPr>
        <w:t>archivistiek</w:t>
      </w:r>
      <w:proofErr w:type="spellEnd"/>
      <w:r w:rsidRPr="00F12FD4">
        <w:rPr>
          <w:color w:val="000000" w:themeColor="text1"/>
        </w:rPr>
        <w:t xml:space="preserve"> staan de principes ‘compleet, authentiek, betrouwbaar, vindbaar, toegankelijk en bruikbaar.’ </w:t>
      </w:r>
      <w:r w:rsidR="00C87BCC" w:rsidRPr="00F12FD4">
        <w:rPr>
          <w:color w:val="000000" w:themeColor="text1"/>
        </w:rPr>
        <w:t>D</w:t>
      </w:r>
      <w:r w:rsidRPr="00F12FD4">
        <w:rPr>
          <w:color w:val="000000" w:themeColor="text1"/>
        </w:rPr>
        <w:t xml:space="preserve">e raakvlakken met </w:t>
      </w:r>
      <w:r w:rsidR="00B97E04" w:rsidRPr="00F12FD4">
        <w:rPr>
          <w:color w:val="000000" w:themeColor="text1"/>
        </w:rPr>
        <w:t xml:space="preserve">de </w:t>
      </w:r>
      <w:r w:rsidRPr="00F12FD4">
        <w:rPr>
          <w:color w:val="000000" w:themeColor="text1"/>
        </w:rPr>
        <w:t xml:space="preserve">Common </w:t>
      </w:r>
      <w:proofErr w:type="spellStart"/>
      <w:r w:rsidRPr="00F12FD4">
        <w:rPr>
          <w:color w:val="000000" w:themeColor="text1"/>
        </w:rPr>
        <w:t>Ground</w:t>
      </w:r>
      <w:proofErr w:type="spellEnd"/>
      <w:r w:rsidR="00B97E04" w:rsidRPr="00F12FD4">
        <w:rPr>
          <w:color w:val="000000" w:themeColor="text1"/>
        </w:rPr>
        <w:t xml:space="preserve"> architectuurprincipes</w:t>
      </w:r>
      <w:r w:rsidRPr="00F12FD4">
        <w:rPr>
          <w:color w:val="000000" w:themeColor="text1"/>
        </w:rPr>
        <w:t xml:space="preserve"> </w:t>
      </w:r>
      <w:r w:rsidR="00607709" w:rsidRPr="00F12FD4">
        <w:rPr>
          <w:color w:val="000000" w:themeColor="text1"/>
        </w:rPr>
        <w:t>zijn duidelijk: door eenmalig vast te leggen</w:t>
      </w:r>
      <w:r w:rsidR="00AB75C5" w:rsidRPr="00F12FD4">
        <w:rPr>
          <w:color w:val="000000" w:themeColor="text1"/>
        </w:rPr>
        <w:t>, en open en vertrouwd om te gaan met gegevens k</w:t>
      </w:r>
      <w:r w:rsidR="008250CF" w:rsidRPr="00F12FD4">
        <w:rPr>
          <w:color w:val="000000" w:themeColor="text1"/>
        </w:rPr>
        <w:t xml:space="preserve">unnen de kernwaarden </w:t>
      </w:r>
      <w:r w:rsidR="00EC3792" w:rsidRPr="00F12FD4">
        <w:rPr>
          <w:color w:val="000000" w:themeColor="text1"/>
        </w:rPr>
        <w:t xml:space="preserve">uit de archiefwetenschap voor een groot deel gewaarborgd worden. </w:t>
      </w:r>
    </w:p>
    <w:p w14:paraId="1F0729AD" w14:textId="3DA30158" w:rsidR="00BE1876" w:rsidRPr="00F12FD4" w:rsidRDefault="00645FD3" w:rsidP="00DD4E6E">
      <w:pPr>
        <w:ind w:left="1980"/>
        <w:jc w:val="both"/>
        <w:rPr>
          <w:color w:val="000000" w:themeColor="text1"/>
        </w:rPr>
      </w:pPr>
      <w:r w:rsidRPr="00F12FD4">
        <w:rPr>
          <w:color w:val="000000" w:themeColor="text1"/>
        </w:rPr>
        <w:t>Daarnaast, z</w:t>
      </w:r>
      <w:r w:rsidR="001C17E2" w:rsidRPr="00F12FD4">
        <w:rPr>
          <w:color w:val="000000" w:themeColor="text1"/>
        </w:rPr>
        <w:t>oals reeds aangestipt in deze memo</w:t>
      </w:r>
      <w:r w:rsidRPr="00F12FD4">
        <w:rPr>
          <w:color w:val="000000" w:themeColor="text1"/>
        </w:rPr>
        <w:t xml:space="preserve">, </w:t>
      </w:r>
      <w:r w:rsidR="005B0447" w:rsidRPr="00F12FD4">
        <w:rPr>
          <w:color w:val="000000" w:themeColor="text1"/>
        </w:rPr>
        <w:t xml:space="preserve">gaat het </w:t>
      </w:r>
      <w:r w:rsidRPr="00F12FD4">
        <w:rPr>
          <w:color w:val="000000" w:themeColor="text1"/>
        </w:rPr>
        <w:t>OAIS-</w:t>
      </w:r>
      <w:r w:rsidR="005B0447" w:rsidRPr="00F12FD4">
        <w:rPr>
          <w:color w:val="000000" w:themeColor="text1"/>
        </w:rPr>
        <w:t xml:space="preserve">model, uit van </w:t>
      </w:r>
      <w:r w:rsidR="006D534F" w:rsidRPr="00F12FD4">
        <w:rPr>
          <w:color w:val="000000" w:themeColor="text1"/>
        </w:rPr>
        <w:t>een modulaire opbouw</w:t>
      </w:r>
      <w:r w:rsidR="009E6C43" w:rsidRPr="00F12FD4">
        <w:rPr>
          <w:color w:val="000000" w:themeColor="text1"/>
        </w:rPr>
        <w:t xml:space="preserve">, waarin </w:t>
      </w:r>
      <w:r w:rsidR="003F5F95" w:rsidRPr="00F12FD4">
        <w:rPr>
          <w:color w:val="000000" w:themeColor="text1"/>
        </w:rPr>
        <w:t xml:space="preserve">data </w:t>
      </w:r>
      <w:r w:rsidR="00010944" w:rsidRPr="00F12FD4">
        <w:rPr>
          <w:color w:val="000000" w:themeColor="text1"/>
        </w:rPr>
        <w:t>op een centrale plek word</w:t>
      </w:r>
      <w:r w:rsidR="00C238BF" w:rsidRPr="00F12FD4">
        <w:rPr>
          <w:color w:val="000000" w:themeColor="text1"/>
        </w:rPr>
        <w:t>en</w:t>
      </w:r>
      <w:r w:rsidR="00010944" w:rsidRPr="00F12FD4">
        <w:rPr>
          <w:color w:val="000000" w:themeColor="text1"/>
        </w:rPr>
        <w:t xml:space="preserve"> opgeslagen en de toegang </w:t>
      </w:r>
      <w:r w:rsidR="001777CC" w:rsidRPr="00F12FD4">
        <w:rPr>
          <w:color w:val="000000" w:themeColor="text1"/>
        </w:rPr>
        <w:t>op basis van autorisaties wordt geregeld.</w:t>
      </w:r>
      <w:r w:rsidR="00F72F29" w:rsidRPr="00F12FD4">
        <w:rPr>
          <w:color w:val="000000" w:themeColor="text1"/>
        </w:rPr>
        <w:t xml:space="preserve"> </w:t>
      </w:r>
      <w:r w:rsidR="00A92A2E" w:rsidRPr="00F12FD4">
        <w:rPr>
          <w:color w:val="000000" w:themeColor="text1"/>
        </w:rPr>
        <w:t>Er lijkt vooralsnog geen conflict te bestaan tussen de</w:t>
      </w:r>
      <w:r w:rsidR="00B97E04" w:rsidRPr="00F12FD4">
        <w:rPr>
          <w:color w:val="000000" w:themeColor="text1"/>
        </w:rPr>
        <w:t xml:space="preserve"> in Common </w:t>
      </w:r>
      <w:proofErr w:type="spellStart"/>
      <w:r w:rsidR="00B97E04" w:rsidRPr="00F12FD4">
        <w:rPr>
          <w:color w:val="000000" w:themeColor="text1"/>
        </w:rPr>
        <w:t>Ground</w:t>
      </w:r>
      <w:proofErr w:type="spellEnd"/>
      <w:r w:rsidR="00B97E04" w:rsidRPr="00F12FD4">
        <w:rPr>
          <w:color w:val="000000" w:themeColor="text1"/>
        </w:rPr>
        <w:t xml:space="preserve"> geformuleerde architectuurprincipes</w:t>
      </w:r>
      <w:r w:rsidR="00A92A2E" w:rsidRPr="00F12FD4">
        <w:rPr>
          <w:color w:val="000000" w:themeColor="text1"/>
        </w:rPr>
        <w:t xml:space="preserve"> en de wensen en eisen vanuit de </w:t>
      </w:r>
      <w:proofErr w:type="spellStart"/>
      <w:r w:rsidR="00A92A2E" w:rsidRPr="00F12FD4">
        <w:rPr>
          <w:color w:val="000000" w:themeColor="text1"/>
        </w:rPr>
        <w:t>archivistiek</w:t>
      </w:r>
      <w:proofErr w:type="spellEnd"/>
      <w:r w:rsidR="00A92A2E" w:rsidRPr="00F12FD4">
        <w:rPr>
          <w:color w:val="000000" w:themeColor="text1"/>
        </w:rPr>
        <w:t xml:space="preserve">. Sterker: </w:t>
      </w:r>
      <w:r w:rsidR="00CE6336" w:rsidRPr="00F12FD4">
        <w:rPr>
          <w:color w:val="000000" w:themeColor="text1"/>
        </w:rPr>
        <w:t xml:space="preserve">aangezien het </w:t>
      </w:r>
      <w:proofErr w:type="spellStart"/>
      <w:r w:rsidR="00CE6336" w:rsidRPr="00F12FD4">
        <w:rPr>
          <w:color w:val="000000" w:themeColor="text1"/>
        </w:rPr>
        <w:t>archivisitsche</w:t>
      </w:r>
      <w:proofErr w:type="spellEnd"/>
      <w:r w:rsidR="00CE6336" w:rsidRPr="00F12FD4">
        <w:rPr>
          <w:color w:val="000000" w:themeColor="text1"/>
        </w:rPr>
        <w:t xml:space="preserve"> vakgebied relatief klein is en archiefdiensten ook aan de steeds zwaarder wordende informatie</w:t>
      </w:r>
      <w:r w:rsidR="007C31F8" w:rsidRPr="00F12FD4">
        <w:rPr>
          <w:color w:val="000000" w:themeColor="text1"/>
        </w:rPr>
        <w:t>beveiligings</w:t>
      </w:r>
      <w:r w:rsidR="00CE6336" w:rsidRPr="00F12FD4">
        <w:rPr>
          <w:color w:val="000000" w:themeColor="text1"/>
        </w:rPr>
        <w:t>- en privacywetgeving</w:t>
      </w:r>
      <w:r w:rsidR="00C238BF" w:rsidRPr="00F12FD4">
        <w:rPr>
          <w:color w:val="000000" w:themeColor="text1"/>
        </w:rPr>
        <w:t xml:space="preserve"> moeten voldoen,</w:t>
      </w:r>
      <w:r w:rsidR="00CE6336" w:rsidRPr="00F12FD4">
        <w:rPr>
          <w:color w:val="000000" w:themeColor="text1"/>
        </w:rPr>
        <w:t xml:space="preserve"> </w:t>
      </w:r>
      <w:r w:rsidR="0042307D" w:rsidRPr="00F12FD4">
        <w:rPr>
          <w:color w:val="000000" w:themeColor="text1"/>
        </w:rPr>
        <w:t xml:space="preserve">ligt het voor de hand om aan te sluiten bij een groter en slagvaardiger geheel, zoals het breed gedragen VNG programma. </w:t>
      </w:r>
      <w:r w:rsidR="00B97E04" w:rsidRPr="00F12FD4">
        <w:rPr>
          <w:color w:val="000000" w:themeColor="text1"/>
        </w:rPr>
        <w:t xml:space="preserve"> </w:t>
      </w:r>
    </w:p>
    <w:p w14:paraId="45B49838" w14:textId="3C4088EA" w:rsidR="00AA18AC" w:rsidRPr="00F12FD4" w:rsidRDefault="00AA18AC" w:rsidP="00DD4E6E">
      <w:pPr>
        <w:ind w:left="1980"/>
        <w:jc w:val="both"/>
        <w:rPr>
          <w:color w:val="000000" w:themeColor="text1"/>
        </w:rPr>
      </w:pPr>
      <w:r w:rsidRPr="00F12FD4">
        <w:rPr>
          <w:color w:val="000000" w:themeColor="text1"/>
        </w:rPr>
        <w:t xml:space="preserve">De realisatieprincipes zijn primair bedoeld voor projecten van het VNG programma Common </w:t>
      </w:r>
      <w:proofErr w:type="spellStart"/>
      <w:r w:rsidRPr="00F12FD4">
        <w:rPr>
          <w:color w:val="000000" w:themeColor="text1"/>
        </w:rPr>
        <w:t>Ground</w:t>
      </w:r>
      <w:proofErr w:type="spellEnd"/>
      <w:r w:rsidRPr="00F12FD4">
        <w:rPr>
          <w:color w:val="000000" w:themeColor="text1"/>
        </w:rPr>
        <w:t>. De rode draad van deze set principes zou echter ook leidend kunnen zijn voor het e-depot traject van Zuid-Utrecht: voorbereid op de toekomst, samen gerealiseerd maar wel zodanig dat elke gemeente in zijn eigen tempo kan aansluiten.</w:t>
      </w:r>
    </w:p>
    <w:p w14:paraId="6B173257" w14:textId="77777777" w:rsidR="00AA18AC" w:rsidRPr="00F12FD4" w:rsidRDefault="00AA18AC" w:rsidP="00AA18AC">
      <w:pPr>
        <w:ind w:left="1980"/>
        <w:jc w:val="both"/>
        <w:rPr>
          <w:color w:val="000000" w:themeColor="text1"/>
        </w:rPr>
      </w:pPr>
      <w:r w:rsidRPr="00F12FD4">
        <w:rPr>
          <w:color w:val="000000" w:themeColor="text1"/>
        </w:rPr>
        <w:t xml:space="preserve">Dit laatste is belangrijk om te onderstrepen: mocht het e-depot direct worden opgezet volgens de principes en architectuur van Common </w:t>
      </w:r>
      <w:proofErr w:type="spellStart"/>
      <w:r w:rsidRPr="00F12FD4">
        <w:rPr>
          <w:color w:val="000000" w:themeColor="text1"/>
        </w:rPr>
        <w:t>Ground</w:t>
      </w:r>
      <w:proofErr w:type="spellEnd"/>
      <w:r w:rsidRPr="00F12FD4">
        <w:rPr>
          <w:color w:val="000000" w:themeColor="text1"/>
        </w:rPr>
        <w:t xml:space="preserve"> dan betekent dat niet dat elke bij het RAZU aangesloten gemeente over moet schakelen naar Common </w:t>
      </w:r>
      <w:proofErr w:type="spellStart"/>
      <w:r w:rsidRPr="00F12FD4">
        <w:rPr>
          <w:color w:val="000000" w:themeColor="text1"/>
        </w:rPr>
        <w:t>Ground</w:t>
      </w:r>
      <w:proofErr w:type="spellEnd"/>
      <w:r w:rsidRPr="00F12FD4">
        <w:rPr>
          <w:color w:val="000000" w:themeColor="text1"/>
        </w:rPr>
        <w:t xml:space="preserve"> om gebruik te maken van het e-depot.</w:t>
      </w:r>
    </w:p>
    <w:p w14:paraId="6AFC514B" w14:textId="77777777" w:rsidR="004F1BE5" w:rsidRPr="00F12FD4" w:rsidRDefault="004F1BE5" w:rsidP="004F1BE5">
      <w:pPr>
        <w:ind w:left="1980"/>
        <w:jc w:val="both"/>
        <w:rPr>
          <w:i/>
          <w:color w:val="000000" w:themeColor="text1"/>
          <w:sz w:val="20"/>
          <w:szCs w:val="20"/>
        </w:rPr>
      </w:pPr>
    </w:p>
    <w:p w14:paraId="6CC7AB7F" w14:textId="77777777" w:rsidR="004F1BE5" w:rsidRPr="00F12FD4" w:rsidRDefault="004F1BE5" w:rsidP="004F1BE5">
      <w:pPr>
        <w:ind w:left="1980"/>
        <w:jc w:val="both"/>
        <w:rPr>
          <w:i/>
          <w:color w:val="000000" w:themeColor="text1"/>
          <w:sz w:val="20"/>
          <w:szCs w:val="20"/>
        </w:rPr>
      </w:pPr>
    </w:p>
    <w:p w14:paraId="2396D874" w14:textId="594ECF93" w:rsidR="00AA18AC" w:rsidRPr="00F12FD4" w:rsidRDefault="00AA18AC" w:rsidP="004F1BE5">
      <w:pPr>
        <w:ind w:left="1980"/>
        <w:jc w:val="both"/>
        <w:rPr>
          <w:i/>
          <w:color w:val="000000" w:themeColor="text1"/>
          <w:sz w:val="20"/>
          <w:szCs w:val="20"/>
        </w:rPr>
      </w:pPr>
      <w:r w:rsidRPr="00F12FD4">
        <w:rPr>
          <w:noProof/>
        </w:rPr>
        <w:lastRenderedPageBreak/>
        <w:drawing>
          <wp:anchor distT="0" distB="0" distL="114300" distR="114300" simplePos="0" relativeHeight="251660288" behindDoc="0" locked="0" layoutInCell="1" allowOverlap="1" wp14:anchorId="401005CF" wp14:editId="5A01E0F5">
            <wp:simplePos x="0" y="0"/>
            <wp:positionH relativeFrom="column">
              <wp:posOffset>401320</wp:posOffset>
            </wp:positionH>
            <wp:positionV relativeFrom="paragraph">
              <wp:posOffset>31197</wp:posOffset>
            </wp:positionV>
            <wp:extent cx="6383655" cy="20447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6383655" cy="2044700"/>
                    </a:xfrm>
                    <a:prstGeom prst="rect">
                      <a:avLst/>
                    </a:prstGeom>
                  </pic:spPr>
                </pic:pic>
              </a:graphicData>
            </a:graphic>
          </wp:anchor>
        </w:drawing>
      </w:r>
    </w:p>
    <w:p w14:paraId="63F50E1C" w14:textId="57979CFF" w:rsidR="00AA18AC" w:rsidRPr="00F12FD4" w:rsidRDefault="00AA18AC" w:rsidP="004F1BE5">
      <w:pPr>
        <w:ind w:left="1980"/>
        <w:jc w:val="both"/>
        <w:rPr>
          <w:i/>
          <w:color w:val="000000" w:themeColor="text1"/>
          <w:sz w:val="20"/>
          <w:szCs w:val="20"/>
        </w:rPr>
      </w:pPr>
    </w:p>
    <w:p w14:paraId="54E66F2B" w14:textId="77777777" w:rsidR="00AA18AC" w:rsidRPr="00F12FD4" w:rsidRDefault="00AA18AC" w:rsidP="004F1BE5">
      <w:pPr>
        <w:ind w:left="1980"/>
        <w:jc w:val="both"/>
        <w:rPr>
          <w:i/>
          <w:color w:val="000000" w:themeColor="text1"/>
          <w:sz w:val="20"/>
          <w:szCs w:val="20"/>
        </w:rPr>
      </w:pPr>
    </w:p>
    <w:p w14:paraId="430B0DB7" w14:textId="5AD28540" w:rsidR="004F1BE5" w:rsidRPr="00F12FD4" w:rsidRDefault="004F1BE5" w:rsidP="004F1BE5">
      <w:pPr>
        <w:ind w:left="1980"/>
        <w:jc w:val="both"/>
        <w:rPr>
          <w:i/>
          <w:color w:val="000000" w:themeColor="text1"/>
          <w:sz w:val="20"/>
          <w:szCs w:val="20"/>
        </w:rPr>
      </w:pPr>
    </w:p>
    <w:p w14:paraId="35079536" w14:textId="3DF92F3E" w:rsidR="00AA18AC" w:rsidRPr="00F12FD4" w:rsidRDefault="00AA18AC" w:rsidP="004F1BE5">
      <w:pPr>
        <w:ind w:left="1980"/>
        <w:jc w:val="both"/>
        <w:rPr>
          <w:i/>
          <w:color w:val="000000" w:themeColor="text1"/>
          <w:sz w:val="20"/>
          <w:szCs w:val="20"/>
        </w:rPr>
      </w:pPr>
    </w:p>
    <w:p w14:paraId="72A33920" w14:textId="77777777" w:rsidR="00AA18AC" w:rsidRPr="00F12FD4" w:rsidRDefault="00AA18AC" w:rsidP="004F1BE5">
      <w:pPr>
        <w:ind w:left="1980"/>
        <w:jc w:val="both"/>
        <w:rPr>
          <w:i/>
          <w:color w:val="000000" w:themeColor="text1"/>
          <w:sz w:val="20"/>
          <w:szCs w:val="20"/>
        </w:rPr>
      </w:pPr>
    </w:p>
    <w:p w14:paraId="1A19F296" w14:textId="77777777" w:rsidR="004F1BE5" w:rsidRPr="00F12FD4" w:rsidRDefault="004F1BE5" w:rsidP="004F1BE5">
      <w:pPr>
        <w:ind w:left="1980"/>
        <w:jc w:val="both"/>
        <w:rPr>
          <w:i/>
          <w:color w:val="000000" w:themeColor="text1"/>
          <w:sz w:val="20"/>
          <w:szCs w:val="20"/>
        </w:rPr>
      </w:pPr>
    </w:p>
    <w:p w14:paraId="707C1472" w14:textId="77777777" w:rsidR="004F1BE5" w:rsidRPr="00F12FD4" w:rsidRDefault="004F1BE5" w:rsidP="004F1BE5">
      <w:pPr>
        <w:ind w:left="1980"/>
        <w:jc w:val="both"/>
        <w:rPr>
          <w:i/>
          <w:color w:val="000000" w:themeColor="text1"/>
          <w:sz w:val="20"/>
          <w:szCs w:val="20"/>
        </w:rPr>
      </w:pPr>
    </w:p>
    <w:p w14:paraId="63293CD8" w14:textId="77777777" w:rsidR="004F1BE5" w:rsidRPr="00F12FD4" w:rsidRDefault="004F1BE5" w:rsidP="004F1BE5">
      <w:pPr>
        <w:ind w:left="1980"/>
        <w:jc w:val="both"/>
        <w:rPr>
          <w:i/>
          <w:iCs/>
          <w:color w:val="000000" w:themeColor="text1"/>
          <w:sz w:val="20"/>
          <w:szCs w:val="20"/>
          <w:lang w:val="en-US"/>
        </w:rPr>
      </w:pPr>
      <w:proofErr w:type="spellStart"/>
      <w:r w:rsidRPr="00F12FD4">
        <w:rPr>
          <w:i/>
          <w:iCs/>
          <w:color w:val="000000" w:themeColor="text1"/>
          <w:sz w:val="20"/>
          <w:szCs w:val="20"/>
          <w:lang w:val="en-US"/>
        </w:rPr>
        <w:t>Figuur</w:t>
      </w:r>
      <w:proofErr w:type="spellEnd"/>
      <w:r w:rsidRPr="00F12FD4">
        <w:rPr>
          <w:i/>
          <w:iCs/>
          <w:color w:val="000000" w:themeColor="text1"/>
          <w:sz w:val="20"/>
          <w:szCs w:val="20"/>
          <w:lang w:val="en-US"/>
        </w:rPr>
        <w:t xml:space="preserve"> 5 – </w:t>
      </w:r>
      <w:proofErr w:type="spellStart"/>
      <w:r w:rsidRPr="00F12FD4">
        <w:rPr>
          <w:i/>
          <w:iCs/>
          <w:color w:val="000000" w:themeColor="text1"/>
          <w:sz w:val="20"/>
          <w:szCs w:val="20"/>
          <w:lang w:val="en-US"/>
        </w:rPr>
        <w:t>Realisatieprincipes</w:t>
      </w:r>
      <w:proofErr w:type="spellEnd"/>
      <w:r w:rsidRPr="00F12FD4">
        <w:rPr>
          <w:i/>
          <w:iCs/>
          <w:color w:val="000000" w:themeColor="text1"/>
          <w:sz w:val="20"/>
          <w:szCs w:val="20"/>
          <w:lang w:val="en-US"/>
        </w:rPr>
        <w:t xml:space="preserve"> Common Ground, via commonground.nl</w:t>
      </w:r>
    </w:p>
    <w:p w14:paraId="7CB2F1D2" w14:textId="153495F2" w:rsidR="003D0B13" w:rsidRPr="0048312C" w:rsidRDefault="003D0B13" w:rsidP="003D0B13">
      <w:pPr>
        <w:ind w:left="1980"/>
        <w:jc w:val="both"/>
        <w:rPr>
          <w:color w:val="000000" w:themeColor="text1"/>
        </w:rPr>
      </w:pPr>
      <w:r w:rsidRPr="00F12FD4">
        <w:rPr>
          <w:color w:val="000000" w:themeColor="text1"/>
        </w:rPr>
        <w:t>Het e-depot, met een eigen opslaglocatie in de data</w:t>
      </w:r>
      <w:r w:rsidR="00C238BF" w:rsidRPr="00F12FD4">
        <w:rPr>
          <w:color w:val="000000" w:themeColor="text1"/>
        </w:rPr>
        <w:t>-</w:t>
      </w:r>
      <w:r w:rsidRPr="00F12FD4">
        <w:rPr>
          <w:color w:val="000000" w:themeColor="text1"/>
        </w:rPr>
        <w:t>laag, zal niet alleen naadloos</w:t>
      </w:r>
      <w:r w:rsidR="0042307D" w:rsidRPr="00F12FD4">
        <w:rPr>
          <w:color w:val="000000" w:themeColor="text1"/>
        </w:rPr>
        <w:t xml:space="preserve"> moeten</w:t>
      </w:r>
      <w:r w:rsidRPr="00F12FD4">
        <w:rPr>
          <w:color w:val="000000" w:themeColor="text1"/>
        </w:rPr>
        <w:t xml:space="preserve"> kunnen aansluiten op een Common </w:t>
      </w:r>
      <w:proofErr w:type="spellStart"/>
      <w:r w:rsidRPr="00F12FD4">
        <w:rPr>
          <w:color w:val="000000" w:themeColor="text1"/>
        </w:rPr>
        <w:t>Ground</w:t>
      </w:r>
      <w:proofErr w:type="spellEnd"/>
      <w:r w:rsidRPr="00F12FD4">
        <w:rPr>
          <w:color w:val="000000" w:themeColor="text1"/>
        </w:rPr>
        <w:t>-ingerichte gemeente, maar</w:t>
      </w:r>
      <w:r w:rsidR="0042307D" w:rsidRPr="00F12FD4">
        <w:rPr>
          <w:color w:val="000000" w:themeColor="text1"/>
        </w:rPr>
        <w:t xml:space="preserve"> moet</w:t>
      </w:r>
      <w:r w:rsidRPr="00F12FD4">
        <w:rPr>
          <w:color w:val="000000" w:themeColor="text1"/>
        </w:rPr>
        <w:t xml:space="preserve"> ook toegankelijk blijven voor de opname van niet in Common </w:t>
      </w:r>
      <w:proofErr w:type="spellStart"/>
      <w:r w:rsidRPr="00F12FD4">
        <w:rPr>
          <w:color w:val="000000" w:themeColor="text1"/>
        </w:rPr>
        <w:t>Ground</w:t>
      </w:r>
      <w:proofErr w:type="spellEnd"/>
      <w:r w:rsidRPr="00F12FD4">
        <w:rPr>
          <w:color w:val="000000" w:themeColor="text1"/>
        </w:rPr>
        <w:t xml:space="preserve">-omgevingen geproduceerde data. </w:t>
      </w:r>
      <w:r w:rsidR="0042307D" w:rsidRPr="00F12FD4">
        <w:rPr>
          <w:color w:val="000000" w:themeColor="text1"/>
        </w:rPr>
        <w:t xml:space="preserve">Los van de inrichting van de gemeentelijke huishouding is dit ook een vereiste om in de digitale toekomst </w:t>
      </w:r>
      <w:r w:rsidR="00C238BF" w:rsidRPr="00F12FD4">
        <w:rPr>
          <w:color w:val="000000" w:themeColor="text1"/>
        </w:rPr>
        <w:t>niet-overheids</w:t>
      </w:r>
      <w:r w:rsidR="0042307D" w:rsidRPr="00F12FD4">
        <w:rPr>
          <w:color w:val="000000" w:themeColor="text1"/>
        </w:rPr>
        <w:t>archieven te kunnen acquireren.</w:t>
      </w:r>
      <w:r w:rsidR="001A2F97" w:rsidRPr="00F12FD4">
        <w:rPr>
          <w:color w:val="000000" w:themeColor="text1"/>
        </w:rPr>
        <w:t xml:space="preserve"> Gezien de ontwikkelingen bij de VNG, zoals de naderende verplichtstelling van de eerste standaard </w:t>
      </w:r>
      <w:r w:rsidR="0039637B" w:rsidRPr="00F12FD4">
        <w:rPr>
          <w:color w:val="000000" w:themeColor="text1"/>
        </w:rPr>
        <w:t xml:space="preserve">binnen Common </w:t>
      </w:r>
      <w:proofErr w:type="spellStart"/>
      <w:r w:rsidR="0039637B" w:rsidRPr="00F12FD4">
        <w:rPr>
          <w:color w:val="000000" w:themeColor="text1"/>
        </w:rPr>
        <w:t>Ground</w:t>
      </w:r>
      <w:proofErr w:type="spellEnd"/>
      <w:r w:rsidR="0039637B" w:rsidRPr="00F12FD4">
        <w:rPr>
          <w:color w:val="000000" w:themeColor="text1"/>
        </w:rPr>
        <w:t xml:space="preserve">, is </w:t>
      </w:r>
      <w:r w:rsidR="000C5956" w:rsidRPr="00F12FD4">
        <w:rPr>
          <w:color w:val="000000" w:themeColor="text1"/>
        </w:rPr>
        <w:t>de verwachting</w:t>
      </w:r>
      <w:r w:rsidR="0039637B" w:rsidRPr="00F12FD4">
        <w:rPr>
          <w:color w:val="000000" w:themeColor="text1"/>
        </w:rPr>
        <w:t xml:space="preserve"> dat vrijwel alle gemeenten </w:t>
      </w:r>
      <w:r w:rsidR="0075127D" w:rsidRPr="00F12FD4">
        <w:rPr>
          <w:color w:val="000000" w:themeColor="text1"/>
        </w:rPr>
        <w:t xml:space="preserve">in het komende decennium </w:t>
      </w:r>
      <w:r w:rsidR="000D0FB8" w:rsidRPr="00F12FD4">
        <w:rPr>
          <w:color w:val="000000" w:themeColor="text1"/>
        </w:rPr>
        <w:t xml:space="preserve">zullen </w:t>
      </w:r>
      <w:r w:rsidR="0075127D" w:rsidRPr="00F12FD4">
        <w:rPr>
          <w:color w:val="000000" w:themeColor="text1"/>
        </w:rPr>
        <w:t xml:space="preserve">overschakelen naar een </w:t>
      </w:r>
      <w:r w:rsidR="000D0FB8" w:rsidRPr="00F12FD4">
        <w:rPr>
          <w:color w:val="000000" w:themeColor="text1"/>
        </w:rPr>
        <w:t>informatielandschap</w:t>
      </w:r>
      <w:r w:rsidR="00C01505" w:rsidRPr="00F12FD4">
        <w:rPr>
          <w:color w:val="000000" w:themeColor="text1"/>
        </w:rPr>
        <w:t xml:space="preserve"> </w:t>
      </w:r>
      <w:r w:rsidR="00CE7311" w:rsidRPr="00F12FD4">
        <w:rPr>
          <w:color w:val="000000" w:themeColor="text1"/>
        </w:rPr>
        <w:t xml:space="preserve"> dat </w:t>
      </w:r>
      <w:r w:rsidR="0075127D" w:rsidRPr="00F12FD4">
        <w:rPr>
          <w:color w:val="000000" w:themeColor="text1"/>
        </w:rPr>
        <w:t xml:space="preserve">grotendeels Common </w:t>
      </w:r>
      <w:proofErr w:type="spellStart"/>
      <w:r w:rsidR="0075127D" w:rsidRPr="00F12FD4">
        <w:rPr>
          <w:color w:val="000000" w:themeColor="text1"/>
        </w:rPr>
        <w:t>Ground</w:t>
      </w:r>
      <w:proofErr w:type="spellEnd"/>
      <w:r w:rsidR="0075127D" w:rsidRPr="00F12FD4">
        <w:rPr>
          <w:color w:val="000000" w:themeColor="text1"/>
        </w:rPr>
        <w:t xml:space="preserve"> </w:t>
      </w:r>
      <w:r w:rsidR="00B71ABF" w:rsidRPr="00F12FD4">
        <w:rPr>
          <w:color w:val="000000" w:themeColor="text1"/>
        </w:rPr>
        <w:t xml:space="preserve">is </w:t>
      </w:r>
      <w:r w:rsidR="0075127D" w:rsidRPr="00F12FD4">
        <w:rPr>
          <w:color w:val="000000" w:themeColor="text1"/>
        </w:rPr>
        <w:t>ingericht</w:t>
      </w:r>
      <w:r w:rsidR="00B71ABF" w:rsidRPr="00F12FD4">
        <w:rPr>
          <w:color w:val="000000" w:themeColor="text1"/>
        </w:rPr>
        <w:t>.</w:t>
      </w:r>
      <w:r w:rsidR="0075127D" w:rsidRPr="00F12FD4">
        <w:rPr>
          <w:rStyle w:val="Voetnootmarkering"/>
          <w:color w:val="000000" w:themeColor="text1"/>
        </w:rPr>
        <w:footnoteReference w:id="6"/>
      </w:r>
    </w:p>
    <w:p w14:paraId="5F989C59" w14:textId="77777777" w:rsidR="003D0B13" w:rsidRPr="0048312C" w:rsidRDefault="003D0B13" w:rsidP="009014F2">
      <w:pPr>
        <w:ind w:left="1980"/>
        <w:jc w:val="both"/>
        <w:rPr>
          <w:color w:val="000000" w:themeColor="text1"/>
          <w:sz w:val="24"/>
          <w:szCs w:val="24"/>
        </w:rPr>
      </w:pPr>
    </w:p>
    <w:p w14:paraId="170829B0" w14:textId="32F22468" w:rsidR="00EE437F" w:rsidRPr="0048312C" w:rsidRDefault="00EE437F" w:rsidP="0048312C">
      <w:pPr>
        <w:pStyle w:val="Lijstalinea"/>
        <w:numPr>
          <w:ilvl w:val="0"/>
          <w:numId w:val="12"/>
        </w:numPr>
        <w:jc w:val="both"/>
        <w:rPr>
          <w:b/>
          <w:color w:val="6C5A82"/>
          <w:sz w:val="28"/>
          <w:szCs w:val="28"/>
        </w:rPr>
      </w:pPr>
      <w:r w:rsidRPr="0048312C">
        <w:rPr>
          <w:b/>
          <w:color w:val="6C5A82"/>
          <w:sz w:val="28"/>
          <w:szCs w:val="28"/>
        </w:rPr>
        <w:t>Vooruitblik</w:t>
      </w:r>
    </w:p>
    <w:p w14:paraId="1B6D3D91" w14:textId="6C2DD438" w:rsidR="00EE437F" w:rsidRPr="0048312C" w:rsidRDefault="00C51BA1" w:rsidP="00EE437F">
      <w:pPr>
        <w:ind w:left="1980"/>
        <w:jc w:val="both"/>
        <w:rPr>
          <w:color w:val="000000" w:themeColor="text1"/>
        </w:rPr>
      </w:pPr>
      <w:r w:rsidRPr="0048312C">
        <w:rPr>
          <w:color w:val="000000" w:themeColor="text1"/>
        </w:rPr>
        <w:t>We sluiten deze memo af met een belangrijke kanttekening</w:t>
      </w:r>
      <w:r w:rsidR="00C238BF">
        <w:rPr>
          <w:color w:val="000000" w:themeColor="text1"/>
        </w:rPr>
        <w:t>.</w:t>
      </w:r>
      <w:r w:rsidRPr="0048312C">
        <w:rPr>
          <w:color w:val="000000" w:themeColor="text1"/>
        </w:rPr>
        <w:t xml:space="preserve"> </w:t>
      </w:r>
      <w:r w:rsidR="00B45DFF" w:rsidRPr="0048312C">
        <w:rPr>
          <w:color w:val="000000" w:themeColor="text1"/>
        </w:rPr>
        <w:t xml:space="preserve">Common </w:t>
      </w:r>
      <w:proofErr w:type="spellStart"/>
      <w:r w:rsidR="00B45DFF" w:rsidRPr="0048312C">
        <w:rPr>
          <w:color w:val="000000" w:themeColor="text1"/>
        </w:rPr>
        <w:t>Ground</w:t>
      </w:r>
      <w:proofErr w:type="spellEnd"/>
      <w:r w:rsidR="00B45DFF" w:rsidRPr="0048312C">
        <w:rPr>
          <w:color w:val="000000" w:themeColor="text1"/>
        </w:rPr>
        <w:t xml:space="preserve"> is geen standaard product dat </w:t>
      </w:r>
      <w:r w:rsidR="00094E5D" w:rsidRPr="0048312C">
        <w:rPr>
          <w:color w:val="000000" w:themeColor="text1"/>
        </w:rPr>
        <w:t xml:space="preserve">morgen </w:t>
      </w:r>
      <w:r w:rsidR="001057E6" w:rsidRPr="0048312C">
        <w:rPr>
          <w:color w:val="000000" w:themeColor="text1"/>
        </w:rPr>
        <w:t xml:space="preserve">bij een leverancier kan worden afgenomen. Het is een verzameling van </w:t>
      </w:r>
      <w:r w:rsidR="006A3A1A" w:rsidRPr="0048312C">
        <w:rPr>
          <w:color w:val="000000" w:themeColor="text1"/>
        </w:rPr>
        <w:t xml:space="preserve">principes en </w:t>
      </w:r>
      <w:r w:rsidR="00296818" w:rsidRPr="0048312C">
        <w:rPr>
          <w:color w:val="000000" w:themeColor="text1"/>
        </w:rPr>
        <w:t>uitgangspunten</w:t>
      </w:r>
      <w:r w:rsidR="004C16A6" w:rsidRPr="0048312C">
        <w:rPr>
          <w:color w:val="000000" w:themeColor="text1"/>
        </w:rPr>
        <w:t xml:space="preserve"> die tezamen</w:t>
      </w:r>
      <w:r w:rsidR="00C238BF">
        <w:rPr>
          <w:color w:val="000000" w:themeColor="text1"/>
        </w:rPr>
        <w:t xml:space="preserve"> een ideaalbeeld vormen voor de ICT-omgevingen van decentrale overheden. </w:t>
      </w:r>
      <w:r w:rsidR="00965AC0">
        <w:rPr>
          <w:color w:val="000000" w:themeColor="text1"/>
        </w:rPr>
        <w:t>Om van dit ideaalbeeld werkelijkheid te maken zullen gemeenten</w:t>
      </w:r>
      <w:r w:rsidR="00C238BF">
        <w:rPr>
          <w:color w:val="000000" w:themeColor="text1"/>
        </w:rPr>
        <w:t xml:space="preserve"> een langdurige samenwerking </w:t>
      </w:r>
      <w:r w:rsidR="00965AC0">
        <w:rPr>
          <w:color w:val="000000" w:themeColor="text1"/>
        </w:rPr>
        <w:t>met de markt moeten aangaan, om zo met</w:t>
      </w:r>
      <w:r w:rsidR="004C16A6" w:rsidRPr="0048312C">
        <w:rPr>
          <w:color w:val="000000" w:themeColor="text1"/>
        </w:rPr>
        <w:t xml:space="preserve"> vallen en opstaan en veel ontwikkeltijd</w:t>
      </w:r>
      <w:r w:rsidR="00C238BF">
        <w:rPr>
          <w:color w:val="000000" w:themeColor="text1"/>
        </w:rPr>
        <w:t xml:space="preserve"> </w:t>
      </w:r>
      <w:r w:rsidR="00965AC0">
        <w:rPr>
          <w:color w:val="000000" w:themeColor="text1"/>
        </w:rPr>
        <w:t>stap voor stap producten op te leveren.</w:t>
      </w:r>
      <w:r w:rsidR="004C16A6" w:rsidRPr="0048312C">
        <w:rPr>
          <w:color w:val="000000" w:themeColor="text1"/>
        </w:rPr>
        <w:t xml:space="preserve"> </w:t>
      </w:r>
      <w:r w:rsidR="00965AC0">
        <w:rPr>
          <w:color w:val="000000" w:themeColor="text1"/>
        </w:rPr>
        <w:t>In de</w:t>
      </w:r>
      <w:r w:rsidR="000527A2" w:rsidRPr="0048312C">
        <w:rPr>
          <w:color w:val="000000" w:themeColor="text1"/>
        </w:rPr>
        <w:t xml:space="preserve"> pilot e-depot </w:t>
      </w:r>
      <w:r w:rsidR="00965AC0">
        <w:rPr>
          <w:color w:val="000000" w:themeColor="text1"/>
        </w:rPr>
        <w:t xml:space="preserve">is </w:t>
      </w:r>
      <w:r w:rsidR="00297849" w:rsidRPr="0048312C">
        <w:rPr>
          <w:color w:val="000000" w:themeColor="text1"/>
        </w:rPr>
        <w:t xml:space="preserve">op dit moment nog geen keuze gemaakt </w:t>
      </w:r>
      <w:r w:rsidR="00965AC0">
        <w:rPr>
          <w:color w:val="000000" w:themeColor="text1"/>
        </w:rPr>
        <w:t xml:space="preserve">over het hanteren van </w:t>
      </w:r>
      <w:r w:rsidR="00D0141F" w:rsidRPr="0048312C">
        <w:rPr>
          <w:color w:val="000000" w:themeColor="text1"/>
        </w:rPr>
        <w:t xml:space="preserve">Common </w:t>
      </w:r>
      <w:proofErr w:type="spellStart"/>
      <w:r w:rsidR="00D0141F" w:rsidRPr="0048312C">
        <w:rPr>
          <w:color w:val="000000" w:themeColor="text1"/>
        </w:rPr>
        <w:t>Groun</w:t>
      </w:r>
      <w:r w:rsidR="00965AC0">
        <w:rPr>
          <w:color w:val="000000" w:themeColor="text1"/>
        </w:rPr>
        <w:t>d</w:t>
      </w:r>
      <w:proofErr w:type="spellEnd"/>
      <w:r w:rsidR="00965AC0">
        <w:rPr>
          <w:color w:val="000000" w:themeColor="text1"/>
        </w:rPr>
        <w:t xml:space="preserve"> principes. </w:t>
      </w:r>
      <w:r w:rsidR="00FC30F0" w:rsidRPr="0048312C">
        <w:rPr>
          <w:color w:val="000000" w:themeColor="text1"/>
        </w:rPr>
        <w:t xml:space="preserve">De overeenkomsten tussen de uitgangspunten van Common </w:t>
      </w:r>
      <w:proofErr w:type="spellStart"/>
      <w:r w:rsidR="00FC30F0" w:rsidRPr="0048312C">
        <w:rPr>
          <w:color w:val="000000" w:themeColor="text1"/>
        </w:rPr>
        <w:t>Ground</w:t>
      </w:r>
      <w:proofErr w:type="spellEnd"/>
      <w:r w:rsidR="00FC30F0" w:rsidRPr="0048312C">
        <w:rPr>
          <w:color w:val="000000" w:themeColor="text1"/>
        </w:rPr>
        <w:t xml:space="preserve"> en de archieftheorie zijn sterk, maar </w:t>
      </w:r>
      <w:r w:rsidR="00D37D60" w:rsidRPr="0048312C">
        <w:rPr>
          <w:color w:val="000000" w:themeColor="text1"/>
        </w:rPr>
        <w:t xml:space="preserve">om tot een weloverwogen </w:t>
      </w:r>
      <w:r w:rsidRPr="0048312C">
        <w:rPr>
          <w:color w:val="000000" w:themeColor="text1"/>
        </w:rPr>
        <w:t>besluit</w:t>
      </w:r>
      <w:r w:rsidR="00D37D60" w:rsidRPr="0048312C">
        <w:rPr>
          <w:color w:val="000000" w:themeColor="text1"/>
        </w:rPr>
        <w:t xml:space="preserve"> te komen dien</w:t>
      </w:r>
      <w:r w:rsidR="0075735C" w:rsidRPr="0048312C">
        <w:rPr>
          <w:color w:val="000000" w:themeColor="text1"/>
        </w:rPr>
        <w:t>t</w:t>
      </w:r>
      <w:r w:rsidR="00D37D60" w:rsidRPr="0048312C">
        <w:rPr>
          <w:color w:val="000000" w:themeColor="text1"/>
        </w:rPr>
        <w:t xml:space="preserve"> een aantal zaken nog verder te worden uitg</w:t>
      </w:r>
      <w:r w:rsidR="00AD4771" w:rsidRPr="0048312C">
        <w:rPr>
          <w:color w:val="000000" w:themeColor="text1"/>
        </w:rPr>
        <w:t>e</w:t>
      </w:r>
      <w:r w:rsidR="00D37D60" w:rsidRPr="0048312C">
        <w:rPr>
          <w:color w:val="000000" w:themeColor="text1"/>
        </w:rPr>
        <w:t xml:space="preserve">werkt. Deze uitwerking </w:t>
      </w:r>
      <w:r w:rsidR="00965AC0">
        <w:rPr>
          <w:color w:val="000000" w:themeColor="text1"/>
        </w:rPr>
        <w:t>is</w:t>
      </w:r>
      <w:r w:rsidR="00D2520C" w:rsidRPr="0048312C">
        <w:rPr>
          <w:color w:val="000000" w:themeColor="text1"/>
        </w:rPr>
        <w:t xml:space="preserve"> voorzien in de huidige, laatste fase van het e-depot</w:t>
      </w:r>
      <w:r w:rsidR="00C50931" w:rsidRPr="0048312C">
        <w:rPr>
          <w:color w:val="000000" w:themeColor="text1"/>
        </w:rPr>
        <w:t xml:space="preserve">, en moet leiden tot een goed onderbouwd advies </w:t>
      </w:r>
      <w:r w:rsidR="00587DD6" w:rsidRPr="0048312C">
        <w:rPr>
          <w:color w:val="000000" w:themeColor="text1"/>
        </w:rPr>
        <w:t xml:space="preserve">voorafgaand aan de </w:t>
      </w:r>
      <w:r w:rsidR="00472F07" w:rsidRPr="0048312C">
        <w:rPr>
          <w:color w:val="000000" w:themeColor="text1"/>
        </w:rPr>
        <w:t xml:space="preserve">evaluatie in oktober 2021. </w:t>
      </w:r>
      <w:r w:rsidR="0075735C" w:rsidRPr="0048312C">
        <w:rPr>
          <w:color w:val="000000" w:themeColor="text1"/>
        </w:rPr>
        <w:t xml:space="preserve">Naar aanleiding van deze evaluatie zal het bestuur in december 2021 een besluit </w:t>
      </w:r>
      <w:r w:rsidR="001051C3" w:rsidRPr="0048312C">
        <w:rPr>
          <w:color w:val="000000" w:themeColor="text1"/>
        </w:rPr>
        <w:t>kunnen nemen</w:t>
      </w:r>
      <w:r w:rsidR="003A36E2" w:rsidRPr="0048312C">
        <w:rPr>
          <w:color w:val="000000" w:themeColor="text1"/>
        </w:rPr>
        <w:t xml:space="preserve"> over de toekomst van het e-depot project in de regio Zuid-Utrecht.</w:t>
      </w:r>
    </w:p>
    <w:p w14:paraId="741E1C36" w14:textId="3D9D3C60" w:rsidR="0057334C" w:rsidRPr="00391470" w:rsidRDefault="0057334C" w:rsidP="00391470">
      <w:pPr>
        <w:ind w:left="1980"/>
        <w:jc w:val="both"/>
        <w:rPr>
          <w:color w:val="000000" w:themeColor="text1"/>
          <w:sz w:val="24"/>
          <w:szCs w:val="24"/>
        </w:rPr>
      </w:pPr>
    </w:p>
    <w:sectPr w:rsidR="0057334C" w:rsidRPr="00391470" w:rsidSect="001B34D0">
      <w:headerReference w:type="default" r:id="rId16"/>
      <w:footerReference w:type="default" r:id="rId17"/>
      <w:headerReference w:type="first" r:id="rId18"/>
      <w:footerReference w:type="first" r:id="rId19"/>
      <w:pgSz w:w="11906" w:h="16838"/>
      <w:pgMar w:top="720" w:right="1133" w:bottom="1440" w:left="720" w:header="708" w:footer="2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D99C7" w14:textId="77777777" w:rsidR="00E65E7B" w:rsidRDefault="00E65E7B" w:rsidP="00B3072C">
      <w:pPr>
        <w:spacing w:after="0" w:line="240" w:lineRule="auto"/>
      </w:pPr>
      <w:r>
        <w:separator/>
      </w:r>
    </w:p>
  </w:endnote>
  <w:endnote w:type="continuationSeparator" w:id="0">
    <w:p w14:paraId="0D10C554" w14:textId="77777777" w:rsidR="00E65E7B" w:rsidRDefault="00E65E7B" w:rsidP="00B3072C">
      <w:pPr>
        <w:spacing w:after="0" w:line="240" w:lineRule="auto"/>
      </w:pPr>
      <w:r>
        <w:continuationSeparator/>
      </w:r>
    </w:p>
  </w:endnote>
  <w:endnote w:type="continuationNotice" w:id="1">
    <w:p w14:paraId="553B3845" w14:textId="77777777" w:rsidR="00E65E7B" w:rsidRDefault="00E65E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0117962"/>
      <w:docPartObj>
        <w:docPartGallery w:val="Page Numbers (Bottom of Page)"/>
        <w:docPartUnique/>
      </w:docPartObj>
    </w:sdtPr>
    <w:sdtEndPr/>
    <w:sdtContent>
      <w:p w14:paraId="5AF93BAC" w14:textId="292DBD29" w:rsidR="009726C0" w:rsidRDefault="009726C0">
        <w:pPr>
          <w:pStyle w:val="Voettekst"/>
          <w:jc w:val="right"/>
        </w:pPr>
        <w:r>
          <w:fldChar w:fldCharType="begin"/>
        </w:r>
        <w:r>
          <w:instrText>PAGE   \* MERGEFORMAT</w:instrText>
        </w:r>
        <w:r>
          <w:fldChar w:fldCharType="separate"/>
        </w:r>
        <w:r>
          <w:t>2</w:t>
        </w:r>
        <w:r>
          <w:fldChar w:fldCharType="end"/>
        </w:r>
      </w:p>
    </w:sdtContent>
  </w:sdt>
  <w:p w14:paraId="08369D70" w14:textId="77777777" w:rsidR="00CA42E1" w:rsidRPr="001E167B" w:rsidRDefault="00CA42E1">
    <w:pPr>
      <w:pStyle w:val="Voetteks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1113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4"/>
      <w:gridCol w:w="3226"/>
      <w:gridCol w:w="2515"/>
      <w:gridCol w:w="2671"/>
    </w:tblGrid>
    <w:tr w:rsidR="00CA42E1" w:rsidRPr="00114D86" w14:paraId="64B3C72F" w14:textId="77777777" w:rsidTr="00771ADC">
      <w:trPr>
        <w:trHeight w:val="699"/>
      </w:trPr>
      <w:tc>
        <w:tcPr>
          <w:tcW w:w="2724" w:type="dxa"/>
          <w:vAlign w:val="bottom"/>
        </w:tcPr>
        <w:p w14:paraId="47C301C5" w14:textId="77777777" w:rsidR="00CA42E1" w:rsidRDefault="00CA42E1" w:rsidP="005F0F98">
          <w:pPr>
            <w:pStyle w:val="Voettekst"/>
            <w:rPr>
              <w:rFonts w:ascii="Calibri" w:eastAsia="Calibri" w:hAnsi="Calibri" w:cs="Calibri"/>
              <w:color w:val="C0AB78"/>
              <w:sz w:val="18"/>
            </w:rPr>
          </w:pPr>
          <w:r>
            <w:rPr>
              <w:rFonts w:ascii="Calibri" w:eastAsia="Calibri" w:hAnsi="Calibri" w:cs="Calibri"/>
              <w:color w:val="C0AB78"/>
              <w:sz w:val="18"/>
            </w:rPr>
            <w:t>Bezoekadres</w:t>
          </w:r>
        </w:p>
        <w:p w14:paraId="1F27C759"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Karel de Grotestraat 30</w:t>
          </w:r>
        </w:p>
        <w:p w14:paraId="54176092" w14:textId="77777777" w:rsidR="00CA42E1" w:rsidRDefault="00CA42E1" w:rsidP="005F0F98">
          <w:pPr>
            <w:pStyle w:val="Voettekst"/>
          </w:pPr>
          <w:r>
            <w:rPr>
              <w:rFonts w:ascii="Calibri" w:eastAsia="Calibri" w:hAnsi="Calibri" w:cs="Calibri"/>
              <w:b/>
              <w:color w:val="735873"/>
              <w:sz w:val="18"/>
            </w:rPr>
            <w:t>3962 CL in Wijk bij Duurstede</w:t>
          </w:r>
        </w:p>
      </w:tc>
      <w:tc>
        <w:tcPr>
          <w:tcW w:w="3226" w:type="dxa"/>
          <w:vAlign w:val="bottom"/>
        </w:tcPr>
        <w:p w14:paraId="1FE0A692" w14:textId="77777777" w:rsidR="00CA42E1" w:rsidRDefault="00CA42E1" w:rsidP="005F0F98">
          <w:pPr>
            <w:pStyle w:val="Voettekst"/>
            <w:rPr>
              <w:rFonts w:ascii="Calibri" w:eastAsia="Calibri" w:hAnsi="Calibri" w:cs="Calibri"/>
              <w:color w:val="C0AB78"/>
              <w:sz w:val="18"/>
            </w:rPr>
          </w:pPr>
          <w:r>
            <w:rPr>
              <w:rFonts w:ascii="Calibri" w:eastAsia="Calibri" w:hAnsi="Calibri" w:cs="Calibri"/>
              <w:color w:val="C0AB78"/>
              <w:sz w:val="18"/>
            </w:rPr>
            <w:t>Postadres</w:t>
          </w:r>
        </w:p>
        <w:p w14:paraId="0862E73D"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Regionaal Archief Zuid-Utrecht</w:t>
          </w:r>
        </w:p>
        <w:p w14:paraId="554DCB7A" w14:textId="77777777" w:rsidR="00CA42E1" w:rsidRDefault="00CA42E1" w:rsidP="005F0F98">
          <w:pPr>
            <w:pStyle w:val="Voettekst"/>
          </w:pPr>
          <w:r>
            <w:rPr>
              <w:rFonts w:ascii="Calibri" w:eastAsia="Calibri" w:hAnsi="Calibri" w:cs="Calibri"/>
              <w:b/>
              <w:color w:val="735873"/>
              <w:sz w:val="18"/>
            </w:rPr>
            <w:t>Postbus 64  3960 BB Wijk bij Duurstede</w:t>
          </w:r>
        </w:p>
      </w:tc>
      <w:tc>
        <w:tcPr>
          <w:tcW w:w="2515" w:type="dxa"/>
          <w:vAlign w:val="bottom"/>
        </w:tcPr>
        <w:p w14:paraId="2483E9A1" w14:textId="77777777" w:rsidR="00CA42E1" w:rsidRPr="00B3072C" w:rsidRDefault="00CA42E1" w:rsidP="005F0F98">
          <w:pPr>
            <w:pStyle w:val="Voettekst"/>
            <w:rPr>
              <w:sz w:val="18"/>
            </w:rPr>
          </w:pPr>
        </w:p>
        <w:p w14:paraId="73A684F3"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Telefoon: 088 5300 170</w:t>
          </w:r>
        </w:p>
        <w:p w14:paraId="564758B6" w14:textId="77777777" w:rsidR="00CA42E1" w:rsidRDefault="00CA42E1" w:rsidP="005F0F98">
          <w:pPr>
            <w:pStyle w:val="Voettekst"/>
          </w:pPr>
          <w:r>
            <w:rPr>
              <w:rFonts w:ascii="Calibri" w:eastAsia="Calibri" w:hAnsi="Calibri" w:cs="Calibri"/>
              <w:b/>
              <w:color w:val="735873"/>
              <w:sz w:val="18"/>
            </w:rPr>
            <w:t>E-mail: info@razu.nl</w:t>
          </w:r>
        </w:p>
      </w:tc>
      <w:tc>
        <w:tcPr>
          <w:tcW w:w="2671" w:type="dxa"/>
          <w:vAlign w:val="bottom"/>
        </w:tcPr>
        <w:p w14:paraId="0A231078" w14:textId="77777777" w:rsidR="00CA42E1" w:rsidRPr="001E167B" w:rsidRDefault="00CA42E1" w:rsidP="005F0F98">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IBAN NL 18 BNGH 028.51.48.699</w:t>
          </w:r>
        </w:p>
        <w:p w14:paraId="7E3B709B" w14:textId="77777777" w:rsidR="00CA42E1" w:rsidRPr="001E167B" w:rsidRDefault="00CA42E1" w:rsidP="005F0F98">
          <w:pPr>
            <w:pStyle w:val="Voettekst"/>
            <w:rPr>
              <w:rFonts w:ascii="Calibri" w:eastAsia="Calibri" w:hAnsi="Calibri" w:cs="Calibri"/>
              <w:color w:val="C0AB78"/>
              <w:sz w:val="18"/>
              <w:lang w:val="en-GB"/>
            </w:rPr>
          </w:pPr>
          <w:proofErr w:type="spellStart"/>
          <w:r w:rsidRPr="001E167B">
            <w:rPr>
              <w:rFonts w:ascii="Calibri" w:eastAsia="Calibri" w:hAnsi="Calibri" w:cs="Calibri"/>
              <w:color w:val="C0AB78"/>
              <w:sz w:val="18"/>
              <w:lang w:val="en-GB"/>
            </w:rPr>
            <w:t>KvK</w:t>
          </w:r>
          <w:proofErr w:type="spellEnd"/>
          <w:r w:rsidRPr="001E167B">
            <w:rPr>
              <w:rFonts w:ascii="Calibri" w:eastAsia="Calibri" w:hAnsi="Calibri" w:cs="Calibri"/>
              <w:color w:val="C0AB78"/>
              <w:sz w:val="18"/>
              <w:lang w:val="en-GB"/>
            </w:rPr>
            <w:t xml:space="preserve"> 50907905</w:t>
          </w:r>
        </w:p>
        <w:p w14:paraId="495BE02C" w14:textId="77777777" w:rsidR="00CA42E1" w:rsidRPr="001E167B" w:rsidRDefault="00CA42E1" w:rsidP="005F0F98">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BTW NL822.989.712.B01</w:t>
          </w:r>
        </w:p>
      </w:tc>
    </w:tr>
  </w:tbl>
  <w:p w14:paraId="5FED2FB0" w14:textId="77777777" w:rsidR="00CA42E1" w:rsidRPr="005F0F98" w:rsidRDefault="00CA42E1" w:rsidP="00771ADC">
    <w:pPr>
      <w:pStyle w:val="Voettekst"/>
      <w:ind w:left="18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455D1" w14:textId="77777777" w:rsidR="00E65E7B" w:rsidRDefault="00E65E7B" w:rsidP="00B3072C">
      <w:pPr>
        <w:spacing w:after="0" w:line="240" w:lineRule="auto"/>
      </w:pPr>
      <w:r>
        <w:separator/>
      </w:r>
    </w:p>
  </w:footnote>
  <w:footnote w:type="continuationSeparator" w:id="0">
    <w:p w14:paraId="15F3B039" w14:textId="77777777" w:rsidR="00E65E7B" w:rsidRDefault="00E65E7B" w:rsidP="00B3072C">
      <w:pPr>
        <w:spacing w:after="0" w:line="240" w:lineRule="auto"/>
      </w:pPr>
      <w:r>
        <w:continuationSeparator/>
      </w:r>
    </w:p>
  </w:footnote>
  <w:footnote w:type="continuationNotice" w:id="1">
    <w:p w14:paraId="11C56A66" w14:textId="77777777" w:rsidR="00E65E7B" w:rsidRDefault="00E65E7B">
      <w:pPr>
        <w:spacing w:after="0" w:line="240" w:lineRule="auto"/>
      </w:pPr>
    </w:p>
  </w:footnote>
  <w:footnote w:id="2">
    <w:p w14:paraId="2E9A6652" w14:textId="6F2D8F51" w:rsidR="00BC0493" w:rsidRDefault="00BC0493">
      <w:pPr>
        <w:pStyle w:val="Voetnoottekst"/>
      </w:pPr>
      <w:r>
        <w:rPr>
          <w:rStyle w:val="Voetnootmarkering"/>
        </w:rPr>
        <w:footnoteRef/>
      </w:r>
      <w:r>
        <w:t xml:space="preserve"> Commonground.nl</w:t>
      </w:r>
    </w:p>
  </w:footnote>
  <w:footnote w:id="3">
    <w:p w14:paraId="1F49D361" w14:textId="391C50E4" w:rsidR="00D85A4C" w:rsidRDefault="00D85A4C">
      <w:pPr>
        <w:pStyle w:val="Voetnoottekst"/>
      </w:pPr>
      <w:r>
        <w:rPr>
          <w:rStyle w:val="Voetnootmarkering"/>
        </w:rPr>
        <w:footnoteRef/>
      </w:r>
      <w:r>
        <w:t xml:space="preserve"> </w:t>
      </w:r>
      <w:r w:rsidR="00965AC0">
        <w:t xml:space="preserve">“Preserveren: </w:t>
      </w:r>
      <w:r w:rsidR="00965AC0" w:rsidRPr="00965AC0">
        <w:t>Het op zodanige wijze vastleggen, bewaren, beheren en beschikbaar stellen van digitale informatieobjecten, dat deze ook na verloop van tijd raadpleegbaar, toegankelijk en authentiek zijn.</w:t>
      </w:r>
      <w:r w:rsidR="00965AC0">
        <w:t xml:space="preserve">” – Nationaalarchief.nl </w:t>
      </w:r>
    </w:p>
  </w:footnote>
  <w:footnote w:id="4">
    <w:p w14:paraId="673A4709" w14:textId="6788D362" w:rsidR="00965AC0" w:rsidRDefault="00965AC0">
      <w:pPr>
        <w:pStyle w:val="Voetnoottekst"/>
      </w:pPr>
      <w:r>
        <w:rPr>
          <w:rStyle w:val="Voetnootmarkering"/>
        </w:rPr>
        <w:footnoteRef/>
      </w:r>
      <w:r>
        <w:t xml:space="preserve"> Notitie Marktverkenning e-depot 2019, dd. 9 april 2019, pagina 1.</w:t>
      </w:r>
    </w:p>
  </w:footnote>
  <w:footnote w:id="5">
    <w:p w14:paraId="7F07C42C" w14:textId="472A9443" w:rsidR="00156A43" w:rsidRDefault="00156A43">
      <w:pPr>
        <w:pStyle w:val="Voetnoottekst"/>
      </w:pPr>
      <w:r>
        <w:rPr>
          <w:rStyle w:val="Voetnootmarkering"/>
        </w:rPr>
        <w:footnoteRef/>
      </w:r>
      <w:r>
        <w:t xml:space="preserve"> Voor een volledige weergave en beschrijving</w:t>
      </w:r>
      <w:r w:rsidR="002B492A">
        <w:t xml:space="preserve">: Barbara </w:t>
      </w:r>
      <w:proofErr w:type="spellStart"/>
      <w:r w:rsidR="002B492A">
        <w:t>Sierman</w:t>
      </w:r>
      <w:proofErr w:type="spellEnd"/>
      <w:r w:rsidR="002B492A">
        <w:t xml:space="preserve">, </w:t>
      </w:r>
      <w:r w:rsidR="0067525E">
        <w:t xml:space="preserve">‘Het OAIS-model, een leidraad voor duurzame toegankelijkheid’, 2012, via: </w:t>
      </w:r>
      <w:r w:rsidR="0067525E" w:rsidRPr="0067525E">
        <w:t>https://openarchivaris.nl/blob/a4/dd/196778c9a94d12c69c2e3d8ed4e1.pdf</w:t>
      </w:r>
    </w:p>
  </w:footnote>
  <w:footnote w:id="6">
    <w:p w14:paraId="04825E40" w14:textId="743B769E" w:rsidR="0075127D" w:rsidRDefault="0075127D">
      <w:pPr>
        <w:pStyle w:val="Voetnoottekst"/>
      </w:pPr>
      <w:r w:rsidRPr="00F12FD4">
        <w:rPr>
          <w:rStyle w:val="Voetnootmarkering"/>
        </w:rPr>
        <w:footnoteRef/>
      </w:r>
      <w:r w:rsidRPr="00F12FD4">
        <w:t xml:space="preserve"> </w:t>
      </w:r>
      <w:r w:rsidR="0083564A" w:rsidRPr="00F12FD4">
        <w:t xml:space="preserve">Vanaf 2022 wordt de </w:t>
      </w:r>
      <w:r w:rsidR="008A674E" w:rsidRPr="00F12FD4">
        <w:t xml:space="preserve">standaard API ‘Zaakgericht Werken’ verplicht gesteld. Deze standaard is begin 2021 al verheven tot de status ‘pas toe of leg uit’, en is </w:t>
      </w:r>
      <w:r w:rsidR="001848B7" w:rsidRPr="00F12FD4">
        <w:t>onderdeel van de</w:t>
      </w:r>
      <w:r w:rsidR="008A674E" w:rsidRPr="00F12FD4">
        <w:t xml:space="preserve"> Common </w:t>
      </w:r>
      <w:proofErr w:type="spellStart"/>
      <w:r w:rsidR="008A674E" w:rsidRPr="00F12FD4">
        <w:t>Ground</w:t>
      </w:r>
      <w:proofErr w:type="spellEnd"/>
      <w:r w:rsidR="008A674E" w:rsidRPr="00F12FD4">
        <w:t xml:space="preserve"> </w:t>
      </w:r>
      <w:r w:rsidR="001848B7" w:rsidRPr="00F12FD4">
        <w:t>visie</w:t>
      </w:r>
      <w:r w:rsidR="008A674E" w:rsidRPr="00F12FD4">
        <w:t>. Zie de VNG l</w:t>
      </w:r>
      <w:r w:rsidRPr="00F12FD4">
        <w:t xml:space="preserve">edenbrief VNG </w:t>
      </w:r>
      <w:r w:rsidR="0083564A" w:rsidRPr="00F12FD4">
        <w:t xml:space="preserve">4 maart 2021 - </w:t>
      </w:r>
      <w:hyperlink r:id="rId1" w:history="1">
        <w:r w:rsidR="00102166" w:rsidRPr="00F12FD4">
          <w:rPr>
            <w:rStyle w:val="Hyperlink"/>
          </w:rPr>
          <w:t xml:space="preserve">VNG </w:t>
        </w:r>
        <w:proofErr w:type="spellStart"/>
        <w:r w:rsidR="00102166" w:rsidRPr="00F12FD4">
          <w:rPr>
            <w:rStyle w:val="Hyperlink"/>
          </w:rPr>
          <w:t>CvA</w:t>
        </w:r>
        <w:proofErr w:type="spellEnd"/>
        <w:r w:rsidR="00102166" w:rsidRPr="00F12FD4">
          <w:rPr>
            <w:rStyle w:val="Hyperlink"/>
          </w:rPr>
          <w:t xml:space="preserve"> ledenbrief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AF70C" w14:textId="77777777" w:rsidR="00CA42E1" w:rsidRDefault="00CA42E1">
    <w:pPr>
      <w:pStyle w:val="Koptekst"/>
    </w:pPr>
    <w:r>
      <w:rPr>
        <w:noProof/>
      </w:rPr>
      <w:drawing>
        <wp:anchor distT="0" distB="0" distL="114300" distR="114300" simplePos="0" relativeHeight="251658241" behindDoc="1" locked="1" layoutInCell="1" allowOverlap="1" wp14:anchorId="2973F69C" wp14:editId="55DE2D38">
          <wp:simplePos x="0" y="0"/>
          <wp:positionH relativeFrom="column">
            <wp:posOffset>-114300</wp:posOffset>
          </wp:positionH>
          <wp:positionV relativeFrom="page">
            <wp:posOffset>374650</wp:posOffset>
          </wp:positionV>
          <wp:extent cx="1289304" cy="950976"/>
          <wp:effectExtent l="0" t="0" r="6350" b="1905"/>
          <wp:wrapNone/>
          <wp:docPr id="5"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950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CA42E1" w14:paraId="46557B46" w14:textId="77777777" w:rsidTr="006B0BA7">
      <w:trPr>
        <w:trHeight w:val="797"/>
      </w:trPr>
      <w:tc>
        <w:tcPr>
          <w:tcW w:w="10469" w:type="dxa"/>
        </w:tcPr>
        <w:p w14:paraId="12F46F10" w14:textId="77777777" w:rsidR="00CA42E1" w:rsidRDefault="00CA42E1">
          <w:pPr>
            <w:pStyle w:val="Koptekst"/>
          </w:pPr>
        </w:p>
      </w:tc>
    </w:tr>
  </w:tbl>
  <w:p w14:paraId="58670AB0" w14:textId="77777777" w:rsidR="00CA42E1" w:rsidRDefault="00CA42E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7B042" w14:textId="75BDB868" w:rsidR="00CA42E1" w:rsidRDefault="00CA42E1">
    <w:pPr>
      <w:pStyle w:val="Koptekst"/>
    </w:pPr>
    <w:r>
      <w:rPr>
        <w:noProof/>
      </w:rPr>
      <w:drawing>
        <wp:anchor distT="0" distB="0" distL="114300" distR="114300" simplePos="0" relativeHeight="251658240" behindDoc="1" locked="0" layoutInCell="1" allowOverlap="1" wp14:anchorId="032F55DF" wp14:editId="396A5F95">
          <wp:simplePos x="0" y="0"/>
          <wp:positionH relativeFrom="margin">
            <wp:posOffset>-104775</wp:posOffset>
          </wp:positionH>
          <wp:positionV relativeFrom="paragraph">
            <wp:posOffset>-76835</wp:posOffset>
          </wp:positionV>
          <wp:extent cx="1292225" cy="948690"/>
          <wp:effectExtent l="0" t="0" r="3175" b="3810"/>
          <wp:wrapNone/>
          <wp:docPr id="6"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r w:rsidR="00A36A8D">
      <w:tab/>
    </w:r>
    <w:r w:rsidR="00A36A8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85BA9"/>
    <w:multiLevelType w:val="hybridMultilevel"/>
    <w:tmpl w:val="124C2BA2"/>
    <w:lvl w:ilvl="0" w:tplc="0413000F">
      <w:start w:val="1"/>
      <w:numFmt w:val="decimal"/>
      <w:lvlText w:val="%1."/>
      <w:lvlJc w:val="left"/>
      <w:pPr>
        <w:ind w:left="2136" w:hanging="360"/>
      </w:pPr>
      <w:rPr>
        <w:rFonts w:hint="default"/>
      </w:r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1" w15:restartNumberingAfterBreak="0">
    <w:nsid w:val="0B17266A"/>
    <w:multiLevelType w:val="hybridMultilevel"/>
    <w:tmpl w:val="A6A82D0C"/>
    <w:lvl w:ilvl="0" w:tplc="49442CBC">
      <w:numFmt w:val="bullet"/>
      <w:lvlText w:val="-"/>
      <w:lvlJc w:val="left"/>
      <w:pPr>
        <w:ind w:left="2340" w:hanging="360"/>
      </w:pPr>
      <w:rPr>
        <w:rFonts w:ascii="Calibri" w:eastAsiaTheme="minorHAnsi" w:hAnsi="Calibri" w:cs="Calibri" w:hint="default"/>
      </w:rPr>
    </w:lvl>
    <w:lvl w:ilvl="1" w:tplc="04130003" w:tentative="1">
      <w:start w:val="1"/>
      <w:numFmt w:val="bullet"/>
      <w:lvlText w:val="o"/>
      <w:lvlJc w:val="left"/>
      <w:pPr>
        <w:ind w:left="3060" w:hanging="360"/>
      </w:pPr>
      <w:rPr>
        <w:rFonts w:ascii="Courier New" w:hAnsi="Courier New" w:cs="Courier New" w:hint="default"/>
      </w:rPr>
    </w:lvl>
    <w:lvl w:ilvl="2" w:tplc="04130005" w:tentative="1">
      <w:start w:val="1"/>
      <w:numFmt w:val="bullet"/>
      <w:lvlText w:val=""/>
      <w:lvlJc w:val="left"/>
      <w:pPr>
        <w:ind w:left="3780" w:hanging="360"/>
      </w:pPr>
      <w:rPr>
        <w:rFonts w:ascii="Wingdings" w:hAnsi="Wingdings" w:hint="default"/>
      </w:rPr>
    </w:lvl>
    <w:lvl w:ilvl="3" w:tplc="04130001" w:tentative="1">
      <w:start w:val="1"/>
      <w:numFmt w:val="bullet"/>
      <w:lvlText w:val=""/>
      <w:lvlJc w:val="left"/>
      <w:pPr>
        <w:ind w:left="4500" w:hanging="360"/>
      </w:pPr>
      <w:rPr>
        <w:rFonts w:ascii="Symbol" w:hAnsi="Symbol" w:hint="default"/>
      </w:rPr>
    </w:lvl>
    <w:lvl w:ilvl="4" w:tplc="04130003" w:tentative="1">
      <w:start w:val="1"/>
      <w:numFmt w:val="bullet"/>
      <w:lvlText w:val="o"/>
      <w:lvlJc w:val="left"/>
      <w:pPr>
        <w:ind w:left="5220" w:hanging="360"/>
      </w:pPr>
      <w:rPr>
        <w:rFonts w:ascii="Courier New" w:hAnsi="Courier New" w:cs="Courier New" w:hint="default"/>
      </w:rPr>
    </w:lvl>
    <w:lvl w:ilvl="5" w:tplc="04130005" w:tentative="1">
      <w:start w:val="1"/>
      <w:numFmt w:val="bullet"/>
      <w:lvlText w:val=""/>
      <w:lvlJc w:val="left"/>
      <w:pPr>
        <w:ind w:left="5940" w:hanging="360"/>
      </w:pPr>
      <w:rPr>
        <w:rFonts w:ascii="Wingdings" w:hAnsi="Wingdings" w:hint="default"/>
      </w:rPr>
    </w:lvl>
    <w:lvl w:ilvl="6" w:tplc="04130001" w:tentative="1">
      <w:start w:val="1"/>
      <w:numFmt w:val="bullet"/>
      <w:lvlText w:val=""/>
      <w:lvlJc w:val="left"/>
      <w:pPr>
        <w:ind w:left="6660" w:hanging="360"/>
      </w:pPr>
      <w:rPr>
        <w:rFonts w:ascii="Symbol" w:hAnsi="Symbol" w:hint="default"/>
      </w:rPr>
    </w:lvl>
    <w:lvl w:ilvl="7" w:tplc="04130003" w:tentative="1">
      <w:start w:val="1"/>
      <w:numFmt w:val="bullet"/>
      <w:lvlText w:val="o"/>
      <w:lvlJc w:val="left"/>
      <w:pPr>
        <w:ind w:left="7380" w:hanging="360"/>
      </w:pPr>
      <w:rPr>
        <w:rFonts w:ascii="Courier New" w:hAnsi="Courier New" w:cs="Courier New" w:hint="default"/>
      </w:rPr>
    </w:lvl>
    <w:lvl w:ilvl="8" w:tplc="04130005" w:tentative="1">
      <w:start w:val="1"/>
      <w:numFmt w:val="bullet"/>
      <w:lvlText w:val=""/>
      <w:lvlJc w:val="left"/>
      <w:pPr>
        <w:ind w:left="8100" w:hanging="360"/>
      </w:pPr>
      <w:rPr>
        <w:rFonts w:ascii="Wingdings" w:hAnsi="Wingdings" w:hint="default"/>
      </w:rPr>
    </w:lvl>
  </w:abstractNum>
  <w:abstractNum w:abstractNumId="2" w15:restartNumberingAfterBreak="0">
    <w:nsid w:val="1B567390"/>
    <w:multiLevelType w:val="hybridMultilevel"/>
    <w:tmpl w:val="78109B64"/>
    <w:lvl w:ilvl="0" w:tplc="3B56A07E">
      <w:start w:val="1"/>
      <w:numFmt w:val="decimal"/>
      <w:lvlText w:val="%1."/>
      <w:lvlJc w:val="left"/>
      <w:pPr>
        <w:ind w:left="2340" w:hanging="360"/>
      </w:pPr>
      <w:rPr>
        <w:rFonts w:hint="default"/>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3" w15:restartNumberingAfterBreak="0">
    <w:nsid w:val="1DB323F8"/>
    <w:multiLevelType w:val="hybridMultilevel"/>
    <w:tmpl w:val="09B4C3F2"/>
    <w:lvl w:ilvl="0" w:tplc="A956D0F2">
      <w:start w:val="1"/>
      <w:numFmt w:val="decimal"/>
      <w:lvlText w:val="%1."/>
      <w:lvlJc w:val="left"/>
      <w:pPr>
        <w:ind w:left="2340" w:hanging="360"/>
      </w:pPr>
      <w:rPr>
        <w:rFonts w:hint="default"/>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4" w15:restartNumberingAfterBreak="0">
    <w:nsid w:val="2BAA652A"/>
    <w:multiLevelType w:val="hybridMultilevel"/>
    <w:tmpl w:val="4D727062"/>
    <w:lvl w:ilvl="0" w:tplc="A956D0F2">
      <w:start w:val="1"/>
      <w:numFmt w:val="decimal"/>
      <w:lvlText w:val="%1."/>
      <w:lvlJc w:val="left"/>
      <w:pPr>
        <w:ind w:left="2340" w:hanging="360"/>
      </w:pPr>
      <w:rPr>
        <w:rFonts w:hint="default"/>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5" w15:restartNumberingAfterBreak="0">
    <w:nsid w:val="2CAF5E46"/>
    <w:multiLevelType w:val="hybridMultilevel"/>
    <w:tmpl w:val="2FE012E2"/>
    <w:lvl w:ilvl="0" w:tplc="4F58518E">
      <w:start w:val="1"/>
      <w:numFmt w:val="decimal"/>
      <w:lvlText w:val="%1."/>
      <w:lvlJc w:val="left"/>
      <w:pPr>
        <w:ind w:left="376" w:hanging="36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6" w15:restartNumberingAfterBreak="0">
    <w:nsid w:val="3FD333E6"/>
    <w:multiLevelType w:val="hybridMultilevel"/>
    <w:tmpl w:val="99F023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8A10A6D"/>
    <w:multiLevelType w:val="hybridMultilevel"/>
    <w:tmpl w:val="7660C2F6"/>
    <w:lvl w:ilvl="0" w:tplc="2BE8D45C">
      <w:start w:val="1"/>
      <w:numFmt w:val="decimal"/>
      <w:lvlText w:val="%1."/>
      <w:lvlJc w:val="left"/>
      <w:pPr>
        <w:ind w:left="376" w:hanging="36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8" w15:restartNumberingAfterBreak="0">
    <w:nsid w:val="4B8C6EC7"/>
    <w:multiLevelType w:val="hybridMultilevel"/>
    <w:tmpl w:val="6980CAB0"/>
    <w:lvl w:ilvl="0" w:tplc="BE623166">
      <w:numFmt w:val="decimal"/>
      <w:lvlText w:val="%1."/>
      <w:lvlJc w:val="left"/>
      <w:pPr>
        <w:ind w:left="2340" w:hanging="360"/>
      </w:pPr>
      <w:rPr>
        <w:rFonts w:hint="default"/>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9" w15:restartNumberingAfterBreak="0">
    <w:nsid w:val="50494758"/>
    <w:multiLevelType w:val="hybridMultilevel"/>
    <w:tmpl w:val="99F0231C"/>
    <w:lvl w:ilvl="0" w:tplc="0413000F">
      <w:start w:val="1"/>
      <w:numFmt w:val="decimal"/>
      <w:lvlText w:val="%1."/>
      <w:lvlJc w:val="left"/>
      <w:pPr>
        <w:ind w:left="3192" w:hanging="360"/>
      </w:p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10" w15:restartNumberingAfterBreak="0">
    <w:nsid w:val="55B26468"/>
    <w:multiLevelType w:val="hybridMultilevel"/>
    <w:tmpl w:val="B13494CC"/>
    <w:lvl w:ilvl="0" w:tplc="BB728F42">
      <w:start w:val="1"/>
      <w:numFmt w:val="decimal"/>
      <w:lvlText w:val="%1."/>
      <w:lvlJc w:val="left"/>
      <w:pPr>
        <w:ind w:left="2340" w:hanging="360"/>
      </w:pPr>
      <w:rPr>
        <w:rFonts w:hint="default"/>
        <w:b/>
        <w:bCs/>
        <w:color w:val="6C5A82"/>
        <w:sz w:val="28"/>
        <w:szCs w:val="28"/>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1" w15:restartNumberingAfterBreak="0">
    <w:nsid w:val="60D21EB5"/>
    <w:multiLevelType w:val="hybridMultilevel"/>
    <w:tmpl w:val="C51668D2"/>
    <w:lvl w:ilvl="0" w:tplc="A956D0F2">
      <w:start w:val="1"/>
      <w:numFmt w:val="decimal"/>
      <w:lvlText w:val="%1."/>
      <w:lvlJc w:val="left"/>
      <w:pPr>
        <w:ind w:left="2340" w:hanging="360"/>
      </w:pPr>
      <w:rPr>
        <w:rFonts w:hint="default"/>
      </w:rPr>
    </w:lvl>
    <w:lvl w:ilvl="1" w:tplc="04130019">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2" w15:restartNumberingAfterBreak="0">
    <w:nsid w:val="7EF97108"/>
    <w:multiLevelType w:val="hybridMultilevel"/>
    <w:tmpl w:val="3EC0C502"/>
    <w:lvl w:ilvl="0" w:tplc="F154B10A">
      <w:numFmt w:val="bullet"/>
      <w:lvlText w:val="-"/>
      <w:lvlJc w:val="left"/>
      <w:pPr>
        <w:ind w:left="2700" w:hanging="360"/>
      </w:pPr>
      <w:rPr>
        <w:rFonts w:ascii="Calibri" w:eastAsiaTheme="minorHAnsi" w:hAnsi="Calibri" w:cs="Calibri" w:hint="default"/>
      </w:rPr>
    </w:lvl>
    <w:lvl w:ilvl="1" w:tplc="04130003" w:tentative="1">
      <w:start w:val="1"/>
      <w:numFmt w:val="bullet"/>
      <w:lvlText w:val="o"/>
      <w:lvlJc w:val="left"/>
      <w:pPr>
        <w:ind w:left="3420" w:hanging="360"/>
      </w:pPr>
      <w:rPr>
        <w:rFonts w:ascii="Courier New" w:hAnsi="Courier New" w:cs="Courier New" w:hint="default"/>
      </w:rPr>
    </w:lvl>
    <w:lvl w:ilvl="2" w:tplc="04130005" w:tentative="1">
      <w:start w:val="1"/>
      <w:numFmt w:val="bullet"/>
      <w:lvlText w:val=""/>
      <w:lvlJc w:val="left"/>
      <w:pPr>
        <w:ind w:left="4140" w:hanging="360"/>
      </w:pPr>
      <w:rPr>
        <w:rFonts w:ascii="Wingdings" w:hAnsi="Wingdings" w:hint="default"/>
      </w:rPr>
    </w:lvl>
    <w:lvl w:ilvl="3" w:tplc="04130001" w:tentative="1">
      <w:start w:val="1"/>
      <w:numFmt w:val="bullet"/>
      <w:lvlText w:val=""/>
      <w:lvlJc w:val="left"/>
      <w:pPr>
        <w:ind w:left="4860" w:hanging="360"/>
      </w:pPr>
      <w:rPr>
        <w:rFonts w:ascii="Symbol" w:hAnsi="Symbol" w:hint="default"/>
      </w:rPr>
    </w:lvl>
    <w:lvl w:ilvl="4" w:tplc="04130003" w:tentative="1">
      <w:start w:val="1"/>
      <w:numFmt w:val="bullet"/>
      <w:lvlText w:val="o"/>
      <w:lvlJc w:val="left"/>
      <w:pPr>
        <w:ind w:left="5580" w:hanging="360"/>
      </w:pPr>
      <w:rPr>
        <w:rFonts w:ascii="Courier New" w:hAnsi="Courier New" w:cs="Courier New" w:hint="default"/>
      </w:rPr>
    </w:lvl>
    <w:lvl w:ilvl="5" w:tplc="04130005" w:tentative="1">
      <w:start w:val="1"/>
      <w:numFmt w:val="bullet"/>
      <w:lvlText w:val=""/>
      <w:lvlJc w:val="left"/>
      <w:pPr>
        <w:ind w:left="6300" w:hanging="360"/>
      </w:pPr>
      <w:rPr>
        <w:rFonts w:ascii="Wingdings" w:hAnsi="Wingdings" w:hint="default"/>
      </w:rPr>
    </w:lvl>
    <w:lvl w:ilvl="6" w:tplc="04130001" w:tentative="1">
      <w:start w:val="1"/>
      <w:numFmt w:val="bullet"/>
      <w:lvlText w:val=""/>
      <w:lvlJc w:val="left"/>
      <w:pPr>
        <w:ind w:left="7020" w:hanging="360"/>
      </w:pPr>
      <w:rPr>
        <w:rFonts w:ascii="Symbol" w:hAnsi="Symbol" w:hint="default"/>
      </w:rPr>
    </w:lvl>
    <w:lvl w:ilvl="7" w:tplc="04130003" w:tentative="1">
      <w:start w:val="1"/>
      <w:numFmt w:val="bullet"/>
      <w:lvlText w:val="o"/>
      <w:lvlJc w:val="left"/>
      <w:pPr>
        <w:ind w:left="7740" w:hanging="360"/>
      </w:pPr>
      <w:rPr>
        <w:rFonts w:ascii="Courier New" w:hAnsi="Courier New" w:cs="Courier New" w:hint="default"/>
      </w:rPr>
    </w:lvl>
    <w:lvl w:ilvl="8" w:tplc="04130005" w:tentative="1">
      <w:start w:val="1"/>
      <w:numFmt w:val="bullet"/>
      <w:lvlText w:val=""/>
      <w:lvlJc w:val="left"/>
      <w:pPr>
        <w:ind w:left="8460" w:hanging="360"/>
      </w:pPr>
      <w:rPr>
        <w:rFonts w:ascii="Wingdings" w:hAnsi="Wingdings" w:hint="default"/>
      </w:rPr>
    </w:lvl>
  </w:abstractNum>
  <w:num w:numId="1">
    <w:abstractNumId w:val="7"/>
  </w:num>
  <w:num w:numId="2">
    <w:abstractNumId w:val="5"/>
  </w:num>
  <w:num w:numId="3">
    <w:abstractNumId w:val="0"/>
  </w:num>
  <w:num w:numId="4">
    <w:abstractNumId w:val="11"/>
  </w:num>
  <w:num w:numId="5">
    <w:abstractNumId w:val="9"/>
  </w:num>
  <w:num w:numId="6">
    <w:abstractNumId w:val="6"/>
  </w:num>
  <w:num w:numId="7">
    <w:abstractNumId w:val="2"/>
  </w:num>
  <w:num w:numId="8">
    <w:abstractNumId w:val="3"/>
  </w:num>
  <w:num w:numId="9">
    <w:abstractNumId w:val="4"/>
  </w:num>
  <w:num w:numId="10">
    <w:abstractNumId w:val="12"/>
  </w:num>
  <w:num w:numId="11">
    <w:abstractNumId w:val="1"/>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1NjQxsjAxMzAwNrFU0lEKTi0uzszPAykwNKgFAHdmb7AtAAAA"/>
  </w:docVars>
  <w:rsids>
    <w:rsidRoot w:val="00E63B5B"/>
    <w:rsid w:val="00000D29"/>
    <w:rsid w:val="0000274E"/>
    <w:rsid w:val="00002F86"/>
    <w:rsid w:val="000030D3"/>
    <w:rsid w:val="00004D4D"/>
    <w:rsid w:val="000062FF"/>
    <w:rsid w:val="00007C80"/>
    <w:rsid w:val="0001043F"/>
    <w:rsid w:val="00010944"/>
    <w:rsid w:val="000115EF"/>
    <w:rsid w:val="00011A3C"/>
    <w:rsid w:val="00015600"/>
    <w:rsid w:val="00016786"/>
    <w:rsid w:val="000173C1"/>
    <w:rsid w:val="0002014E"/>
    <w:rsid w:val="0002049B"/>
    <w:rsid w:val="0002171B"/>
    <w:rsid w:val="00025C40"/>
    <w:rsid w:val="00026076"/>
    <w:rsid w:val="00030167"/>
    <w:rsid w:val="00030AE4"/>
    <w:rsid w:val="00037BE4"/>
    <w:rsid w:val="00043DBE"/>
    <w:rsid w:val="00044EBE"/>
    <w:rsid w:val="00045EEF"/>
    <w:rsid w:val="00046310"/>
    <w:rsid w:val="00046EF5"/>
    <w:rsid w:val="00047573"/>
    <w:rsid w:val="00051439"/>
    <w:rsid w:val="000527A2"/>
    <w:rsid w:val="00052B88"/>
    <w:rsid w:val="00053C46"/>
    <w:rsid w:val="000540BC"/>
    <w:rsid w:val="0005539D"/>
    <w:rsid w:val="00055D14"/>
    <w:rsid w:val="00060B33"/>
    <w:rsid w:val="00060CC2"/>
    <w:rsid w:val="00061B8F"/>
    <w:rsid w:val="0006411A"/>
    <w:rsid w:val="000653ED"/>
    <w:rsid w:val="00067349"/>
    <w:rsid w:val="000729E0"/>
    <w:rsid w:val="0007449E"/>
    <w:rsid w:val="00076236"/>
    <w:rsid w:val="0008057A"/>
    <w:rsid w:val="000830EA"/>
    <w:rsid w:val="00085348"/>
    <w:rsid w:val="00085BD5"/>
    <w:rsid w:val="00085E42"/>
    <w:rsid w:val="00086F7D"/>
    <w:rsid w:val="00091A49"/>
    <w:rsid w:val="00092257"/>
    <w:rsid w:val="00092A9E"/>
    <w:rsid w:val="00094E5D"/>
    <w:rsid w:val="00095F82"/>
    <w:rsid w:val="00096100"/>
    <w:rsid w:val="00096AFC"/>
    <w:rsid w:val="00097238"/>
    <w:rsid w:val="000A0171"/>
    <w:rsid w:val="000A0B69"/>
    <w:rsid w:val="000A0CB5"/>
    <w:rsid w:val="000A1668"/>
    <w:rsid w:val="000A278A"/>
    <w:rsid w:val="000A2C4D"/>
    <w:rsid w:val="000A7B39"/>
    <w:rsid w:val="000B0F2C"/>
    <w:rsid w:val="000B109E"/>
    <w:rsid w:val="000B1122"/>
    <w:rsid w:val="000B171A"/>
    <w:rsid w:val="000B2B13"/>
    <w:rsid w:val="000B2B2F"/>
    <w:rsid w:val="000B4321"/>
    <w:rsid w:val="000B6352"/>
    <w:rsid w:val="000C1AB0"/>
    <w:rsid w:val="000C2BCA"/>
    <w:rsid w:val="000C567E"/>
    <w:rsid w:val="000C5956"/>
    <w:rsid w:val="000C597F"/>
    <w:rsid w:val="000C5E05"/>
    <w:rsid w:val="000C70CC"/>
    <w:rsid w:val="000D008A"/>
    <w:rsid w:val="000D0FB8"/>
    <w:rsid w:val="000D1D44"/>
    <w:rsid w:val="000D2105"/>
    <w:rsid w:val="000D2AA8"/>
    <w:rsid w:val="000D35C9"/>
    <w:rsid w:val="000D381B"/>
    <w:rsid w:val="000D4D3B"/>
    <w:rsid w:val="000D6665"/>
    <w:rsid w:val="000D69D2"/>
    <w:rsid w:val="000E06F5"/>
    <w:rsid w:val="000E121E"/>
    <w:rsid w:val="000E13D6"/>
    <w:rsid w:val="000E423E"/>
    <w:rsid w:val="000E4B7D"/>
    <w:rsid w:val="000E53ED"/>
    <w:rsid w:val="000E5B9B"/>
    <w:rsid w:val="000F1154"/>
    <w:rsid w:val="000F2A76"/>
    <w:rsid w:val="000F3A94"/>
    <w:rsid w:val="000F6538"/>
    <w:rsid w:val="00102166"/>
    <w:rsid w:val="001030B0"/>
    <w:rsid w:val="0010497B"/>
    <w:rsid w:val="001051C3"/>
    <w:rsid w:val="001057E6"/>
    <w:rsid w:val="00106FA9"/>
    <w:rsid w:val="00110201"/>
    <w:rsid w:val="00114D86"/>
    <w:rsid w:val="001152E9"/>
    <w:rsid w:val="0011626B"/>
    <w:rsid w:val="001165A5"/>
    <w:rsid w:val="001177CD"/>
    <w:rsid w:val="00120826"/>
    <w:rsid w:val="001228D3"/>
    <w:rsid w:val="00122A89"/>
    <w:rsid w:val="001236B8"/>
    <w:rsid w:val="00124CA2"/>
    <w:rsid w:val="00124F15"/>
    <w:rsid w:val="001258DC"/>
    <w:rsid w:val="00130E55"/>
    <w:rsid w:val="00133B73"/>
    <w:rsid w:val="00134A58"/>
    <w:rsid w:val="00135A31"/>
    <w:rsid w:val="00137F57"/>
    <w:rsid w:val="00142B72"/>
    <w:rsid w:val="00143FF4"/>
    <w:rsid w:val="00144451"/>
    <w:rsid w:val="0014709B"/>
    <w:rsid w:val="00150710"/>
    <w:rsid w:val="00150903"/>
    <w:rsid w:val="0015482D"/>
    <w:rsid w:val="00156A43"/>
    <w:rsid w:val="00157336"/>
    <w:rsid w:val="001574D6"/>
    <w:rsid w:val="00160D8F"/>
    <w:rsid w:val="001626BE"/>
    <w:rsid w:val="00162EF1"/>
    <w:rsid w:val="00162F20"/>
    <w:rsid w:val="00164F66"/>
    <w:rsid w:val="001657F2"/>
    <w:rsid w:val="00170EFE"/>
    <w:rsid w:val="00171516"/>
    <w:rsid w:val="001716A7"/>
    <w:rsid w:val="00171863"/>
    <w:rsid w:val="001734FC"/>
    <w:rsid w:val="0017382E"/>
    <w:rsid w:val="0017386C"/>
    <w:rsid w:val="00174D22"/>
    <w:rsid w:val="00176271"/>
    <w:rsid w:val="00176721"/>
    <w:rsid w:val="00176E77"/>
    <w:rsid w:val="001777CC"/>
    <w:rsid w:val="0018064A"/>
    <w:rsid w:val="001807E9"/>
    <w:rsid w:val="00181A9B"/>
    <w:rsid w:val="001848B7"/>
    <w:rsid w:val="00184A61"/>
    <w:rsid w:val="00185A40"/>
    <w:rsid w:val="00191376"/>
    <w:rsid w:val="0019393B"/>
    <w:rsid w:val="00194C0A"/>
    <w:rsid w:val="00195FAC"/>
    <w:rsid w:val="00197FD8"/>
    <w:rsid w:val="001A1ABF"/>
    <w:rsid w:val="001A2F97"/>
    <w:rsid w:val="001A48C7"/>
    <w:rsid w:val="001A4B29"/>
    <w:rsid w:val="001A560F"/>
    <w:rsid w:val="001A6E63"/>
    <w:rsid w:val="001B040E"/>
    <w:rsid w:val="001B0F16"/>
    <w:rsid w:val="001B2DF6"/>
    <w:rsid w:val="001B34D0"/>
    <w:rsid w:val="001C17E2"/>
    <w:rsid w:val="001C302F"/>
    <w:rsid w:val="001C3AA2"/>
    <w:rsid w:val="001C4236"/>
    <w:rsid w:val="001C4402"/>
    <w:rsid w:val="001C5DF9"/>
    <w:rsid w:val="001C7641"/>
    <w:rsid w:val="001C7EE5"/>
    <w:rsid w:val="001D0096"/>
    <w:rsid w:val="001D2CBE"/>
    <w:rsid w:val="001D3BF3"/>
    <w:rsid w:val="001D66CD"/>
    <w:rsid w:val="001E0B32"/>
    <w:rsid w:val="001E167B"/>
    <w:rsid w:val="001E17F4"/>
    <w:rsid w:val="001E3317"/>
    <w:rsid w:val="001E4D7A"/>
    <w:rsid w:val="001F2CFD"/>
    <w:rsid w:val="001F3397"/>
    <w:rsid w:val="001F6F64"/>
    <w:rsid w:val="001F7C00"/>
    <w:rsid w:val="00200189"/>
    <w:rsid w:val="0020631D"/>
    <w:rsid w:val="00207432"/>
    <w:rsid w:val="00207A2C"/>
    <w:rsid w:val="00207A55"/>
    <w:rsid w:val="0021053A"/>
    <w:rsid w:val="00211C8C"/>
    <w:rsid w:val="002133B4"/>
    <w:rsid w:val="00221458"/>
    <w:rsid w:val="002232F0"/>
    <w:rsid w:val="00225070"/>
    <w:rsid w:val="00225853"/>
    <w:rsid w:val="002335C6"/>
    <w:rsid w:val="00235F95"/>
    <w:rsid w:val="00237459"/>
    <w:rsid w:val="00237575"/>
    <w:rsid w:val="00240E7B"/>
    <w:rsid w:val="00247604"/>
    <w:rsid w:val="00256419"/>
    <w:rsid w:val="00256636"/>
    <w:rsid w:val="00263ED7"/>
    <w:rsid w:val="002658DB"/>
    <w:rsid w:val="00272248"/>
    <w:rsid w:val="0027298C"/>
    <w:rsid w:val="00282143"/>
    <w:rsid w:val="002836F1"/>
    <w:rsid w:val="00283F7A"/>
    <w:rsid w:val="002847A3"/>
    <w:rsid w:val="00284BA9"/>
    <w:rsid w:val="00286FA6"/>
    <w:rsid w:val="002872CE"/>
    <w:rsid w:val="002924E8"/>
    <w:rsid w:val="00296818"/>
    <w:rsid w:val="00297849"/>
    <w:rsid w:val="00297D5C"/>
    <w:rsid w:val="002A1E70"/>
    <w:rsid w:val="002A3AA1"/>
    <w:rsid w:val="002A3F14"/>
    <w:rsid w:val="002A4A5D"/>
    <w:rsid w:val="002A5B17"/>
    <w:rsid w:val="002B015F"/>
    <w:rsid w:val="002B0542"/>
    <w:rsid w:val="002B0C1C"/>
    <w:rsid w:val="002B3041"/>
    <w:rsid w:val="002B45CB"/>
    <w:rsid w:val="002B492A"/>
    <w:rsid w:val="002B6E2C"/>
    <w:rsid w:val="002C0920"/>
    <w:rsid w:val="002C0D32"/>
    <w:rsid w:val="002C18B5"/>
    <w:rsid w:val="002C2778"/>
    <w:rsid w:val="002D0807"/>
    <w:rsid w:val="002D49AE"/>
    <w:rsid w:val="002D4CF1"/>
    <w:rsid w:val="002D4D13"/>
    <w:rsid w:val="002D50B5"/>
    <w:rsid w:val="002D578E"/>
    <w:rsid w:val="002D5D9D"/>
    <w:rsid w:val="002D6A20"/>
    <w:rsid w:val="002E05EE"/>
    <w:rsid w:val="002E10F8"/>
    <w:rsid w:val="002E2BB3"/>
    <w:rsid w:val="002E33F8"/>
    <w:rsid w:val="002E4D21"/>
    <w:rsid w:val="002E5DDB"/>
    <w:rsid w:val="002E6D19"/>
    <w:rsid w:val="002F0C7D"/>
    <w:rsid w:val="002F26C9"/>
    <w:rsid w:val="002F6521"/>
    <w:rsid w:val="002F73A0"/>
    <w:rsid w:val="0030239A"/>
    <w:rsid w:val="00302F9A"/>
    <w:rsid w:val="00303828"/>
    <w:rsid w:val="00304E82"/>
    <w:rsid w:val="0030755A"/>
    <w:rsid w:val="00310257"/>
    <w:rsid w:val="003107D2"/>
    <w:rsid w:val="003136AD"/>
    <w:rsid w:val="003165B5"/>
    <w:rsid w:val="00320FE3"/>
    <w:rsid w:val="00321DDF"/>
    <w:rsid w:val="00323093"/>
    <w:rsid w:val="00323F43"/>
    <w:rsid w:val="00325D9A"/>
    <w:rsid w:val="00326C47"/>
    <w:rsid w:val="0032701E"/>
    <w:rsid w:val="00327444"/>
    <w:rsid w:val="00334B44"/>
    <w:rsid w:val="0033529C"/>
    <w:rsid w:val="0033606F"/>
    <w:rsid w:val="00340046"/>
    <w:rsid w:val="00341E58"/>
    <w:rsid w:val="00342762"/>
    <w:rsid w:val="0034375C"/>
    <w:rsid w:val="00343C25"/>
    <w:rsid w:val="00344A18"/>
    <w:rsid w:val="00345786"/>
    <w:rsid w:val="003500FC"/>
    <w:rsid w:val="00354D7C"/>
    <w:rsid w:val="00355EF2"/>
    <w:rsid w:val="0035774C"/>
    <w:rsid w:val="00360F7B"/>
    <w:rsid w:val="00362703"/>
    <w:rsid w:val="00365AC8"/>
    <w:rsid w:val="00366861"/>
    <w:rsid w:val="00366EAC"/>
    <w:rsid w:val="00367AA0"/>
    <w:rsid w:val="00370DE1"/>
    <w:rsid w:val="003751C6"/>
    <w:rsid w:val="003755ED"/>
    <w:rsid w:val="00376513"/>
    <w:rsid w:val="00380CC2"/>
    <w:rsid w:val="00382534"/>
    <w:rsid w:val="00384F35"/>
    <w:rsid w:val="00390931"/>
    <w:rsid w:val="00391470"/>
    <w:rsid w:val="00394E6B"/>
    <w:rsid w:val="00395E20"/>
    <w:rsid w:val="0039637B"/>
    <w:rsid w:val="0039736C"/>
    <w:rsid w:val="003A196B"/>
    <w:rsid w:val="003A36E2"/>
    <w:rsid w:val="003A381A"/>
    <w:rsid w:val="003A3B4C"/>
    <w:rsid w:val="003A3BD9"/>
    <w:rsid w:val="003A55F1"/>
    <w:rsid w:val="003B0296"/>
    <w:rsid w:val="003B3171"/>
    <w:rsid w:val="003B7392"/>
    <w:rsid w:val="003B74C1"/>
    <w:rsid w:val="003C2F0D"/>
    <w:rsid w:val="003C327A"/>
    <w:rsid w:val="003C4ACD"/>
    <w:rsid w:val="003D0B13"/>
    <w:rsid w:val="003D1041"/>
    <w:rsid w:val="003D1AC8"/>
    <w:rsid w:val="003D3A8E"/>
    <w:rsid w:val="003D493D"/>
    <w:rsid w:val="003D5EB2"/>
    <w:rsid w:val="003D74E3"/>
    <w:rsid w:val="003D7683"/>
    <w:rsid w:val="003E3CAF"/>
    <w:rsid w:val="003E5354"/>
    <w:rsid w:val="003E5925"/>
    <w:rsid w:val="003E6546"/>
    <w:rsid w:val="003E6FDE"/>
    <w:rsid w:val="003F2AC1"/>
    <w:rsid w:val="003F4438"/>
    <w:rsid w:val="003F492B"/>
    <w:rsid w:val="003F5F95"/>
    <w:rsid w:val="003F6FBF"/>
    <w:rsid w:val="003F79D1"/>
    <w:rsid w:val="00401160"/>
    <w:rsid w:val="004049B0"/>
    <w:rsid w:val="0040611D"/>
    <w:rsid w:val="00406626"/>
    <w:rsid w:val="00407246"/>
    <w:rsid w:val="00410158"/>
    <w:rsid w:val="004115BB"/>
    <w:rsid w:val="00412515"/>
    <w:rsid w:val="00412F8B"/>
    <w:rsid w:val="00414A00"/>
    <w:rsid w:val="00415657"/>
    <w:rsid w:val="00417F97"/>
    <w:rsid w:val="00420C66"/>
    <w:rsid w:val="00421DE7"/>
    <w:rsid w:val="00422629"/>
    <w:rsid w:val="0042307D"/>
    <w:rsid w:val="00424053"/>
    <w:rsid w:val="00430B20"/>
    <w:rsid w:val="00433B42"/>
    <w:rsid w:val="00433D12"/>
    <w:rsid w:val="00436D34"/>
    <w:rsid w:val="00437687"/>
    <w:rsid w:val="004403F0"/>
    <w:rsid w:val="0044515E"/>
    <w:rsid w:val="0044536B"/>
    <w:rsid w:val="00445B61"/>
    <w:rsid w:val="00446999"/>
    <w:rsid w:val="00447221"/>
    <w:rsid w:val="00450F3D"/>
    <w:rsid w:val="004511DD"/>
    <w:rsid w:val="0045273B"/>
    <w:rsid w:val="00452EB7"/>
    <w:rsid w:val="00455718"/>
    <w:rsid w:val="004558EA"/>
    <w:rsid w:val="00456FC2"/>
    <w:rsid w:val="004571C1"/>
    <w:rsid w:val="00460BDA"/>
    <w:rsid w:val="004615F1"/>
    <w:rsid w:val="00464C11"/>
    <w:rsid w:val="00465355"/>
    <w:rsid w:val="00470BF5"/>
    <w:rsid w:val="00472F07"/>
    <w:rsid w:val="004734CC"/>
    <w:rsid w:val="00474A14"/>
    <w:rsid w:val="00475F46"/>
    <w:rsid w:val="00477C04"/>
    <w:rsid w:val="004806FF"/>
    <w:rsid w:val="00480D69"/>
    <w:rsid w:val="0048312C"/>
    <w:rsid w:val="00483505"/>
    <w:rsid w:val="00483881"/>
    <w:rsid w:val="0048496A"/>
    <w:rsid w:val="00484E55"/>
    <w:rsid w:val="00485204"/>
    <w:rsid w:val="00494BA2"/>
    <w:rsid w:val="004A0636"/>
    <w:rsid w:val="004A15E8"/>
    <w:rsid w:val="004A28F0"/>
    <w:rsid w:val="004A309F"/>
    <w:rsid w:val="004A39E0"/>
    <w:rsid w:val="004A4A9F"/>
    <w:rsid w:val="004A5009"/>
    <w:rsid w:val="004A6C23"/>
    <w:rsid w:val="004B0D52"/>
    <w:rsid w:val="004B3260"/>
    <w:rsid w:val="004B5D5B"/>
    <w:rsid w:val="004B6799"/>
    <w:rsid w:val="004C16A6"/>
    <w:rsid w:val="004C344B"/>
    <w:rsid w:val="004C4FAB"/>
    <w:rsid w:val="004C56F8"/>
    <w:rsid w:val="004D0DD9"/>
    <w:rsid w:val="004D329B"/>
    <w:rsid w:val="004D4D02"/>
    <w:rsid w:val="004D7D58"/>
    <w:rsid w:val="004E09B7"/>
    <w:rsid w:val="004E1047"/>
    <w:rsid w:val="004E18C9"/>
    <w:rsid w:val="004E60F9"/>
    <w:rsid w:val="004E656A"/>
    <w:rsid w:val="004E7A35"/>
    <w:rsid w:val="004F0B12"/>
    <w:rsid w:val="004F1BE5"/>
    <w:rsid w:val="004F269A"/>
    <w:rsid w:val="004F28E3"/>
    <w:rsid w:val="004F3453"/>
    <w:rsid w:val="004F3581"/>
    <w:rsid w:val="004F68F5"/>
    <w:rsid w:val="005004C2"/>
    <w:rsid w:val="0050188F"/>
    <w:rsid w:val="0050475D"/>
    <w:rsid w:val="005079C4"/>
    <w:rsid w:val="00510AD5"/>
    <w:rsid w:val="00511DD1"/>
    <w:rsid w:val="005133BC"/>
    <w:rsid w:val="00517A65"/>
    <w:rsid w:val="00517EEE"/>
    <w:rsid w:val="00520BF4"/>
    <w:rsid w:val="00520F36"/>
    <w:rsid w:val="00521B4F"/>
    <w:rsid w:val="00526F61"/>
    <w:rsid w:val="0052725D"/>
    <w:rsid w:val="00527884"/>
    <w:rsid w:val="005308DA"/>
    <w:rsid w:val="005333C2"/>
    <w:rsid w:val="005341C0"/>
    <w:rsid w:val="005347F0"/>
    <w:rsid w:val="00534B63"/>
    <w:rsid w:val="00536561"/>
    <w:rsid w:val="00537C52"/>
    <w:rsid w:val="00541B29"/>
    <w:rsid w:val="00541B77"/>
    <w:rsid w:val="0054273D"/>
    <w:rsid w:val="00544385"/>
    <w:rsid w:val="0054581A"/>
    <w:rsid w:val="005458B6"/>
    <w:rsid w:val="00546408"/>
    <w:rsid w:val="00550547"/>
    <w:rsid w:val="00551627"/>
    <w:rsid w:val="005518D4"/>
    <w:rsid w:val="00551986"/>
    <w:rsid w:val="00556ADE"/>
    <w:rsid w:val="00557282"/>
    <w:rsid w:val="0056330F"/>
    <w:rsid w:val="00564A9F"/>
    <w:rsid w:val="00572905"/>
    <w:rsid w:val="0057334C"/>
    <w:rsid w:val="005808D4"/>
    <w:rsid w:val="005861EC"/>
    <w:rsid w:val="005865C2"/>
    <w:rsid w:val="00587DD6"/>
    <w:rsid w:val="00591F61"/>
    <w:rsid w:val="00593422"/>
    <w:rsid w:val="005948C0"/>
    <w:rsid w:val="0059559A"/>
    <w:rsid w:val="005A2540"/>
    <w:rsid w:val="005A28DB"/>
    <w:rsid w:val="005A61BE"/>
    <w:rsid w:val="005A61C6"/>
    <w:rsid w:val="005A6356"/>
    <w:rsid w:val="005A662B"/>
    <w:rsid w:val="005B0447"/>
    <w:rsid w:val="005B06CB"/>
    <w:rsid w:val="005B0F78"/>
    <w:rsid w:val="005B1885"/>
    <w:rsid w:val="005B549F"/>
    <w:rsid w:val="005C11B5"/>
    <w:rsid w:val="005C1EE9"/>
    <w:rsid w:val="005C247D"/>
    <w:rsid w:val="005C60CE"/>
    <w:rsid w:val="005C72C6"/>
    <w:rsid w:val="005C77DB"/>
    <w:rsid w:val="005D4060"/>
    <w:rsid w:val="005D5148"/>
    <w:rsid w:val="005D5AEA"/>
    <w:rsid w:val="005D7B43"/>
    <w:rsid w:val="005E19BC"/>
    <w:rsid w:val="005E3501"/>
    <w:rsid w:val="005E3AFB"/>
    <w:rsid w:val="005E4A42"/>
    <w:rsid w:val="005E5231"/>
    <w:rsid w:val="005E56CB"/>
    <w:rsid w:val="005E6581"/>
    <w:rsid w:val="005E75B8"/>
    <w:rsid w:val="005F03A6"/>
    <w:rsid w:val="005F0F98"/>
    <w:rsid w:val="005F1D8B"/>
    <w:rsid w:val="005F3C47"/>
    <w:rsid w:val="005F5395"/>
    <w:rsid w:val="005F5AEA"/>
    <w:rsid w:val="005F7F1E"/>
    <w:rsid w:val="00601F71"/>
    <w:rsid w:val="00602045"/>
    <w:rsid w:val="006024E5"/>
    <w:rsid w:val="00605789"/>
    <w:rsid w:val="00606CB5"/>
    <w:rsid w:val="006071D7"/>
    <w:rsid w:val="00607709"/>
    <w:rsid w:val="00610858"/>
    <w:rsid w:val="0061456D"/>
    <w:rsid w:val="00625BB9"/>
    <w:rsid w:val="00630270"/>
    <w:rsid w:val="0063188E"/>
    <w:rsid w:val="00633CD7"/>
    <w:rsid w:val="00637D13"/>
    <w:rsid w:val="00642B66"/>
    <w:rsid w:val="00644581"/>
    <w:rsid w:val="00644A25"/>
    <w:rsid w:val="00645077"/>
    <w:rsid w:val="00645FD3"/>
    <w:rsid w:val="0064636F"/>
    <w:rsid w:val="006467E7"/>
    <w:rsid w:val="0064712B"/>
    <w:rsid w:val="00651476"/>
    <w:rsid w:val="00651A0A"/>
    <w:rsid w:val="00651F1F"/>
    <w:rsid w:val="00651FB7"/>
    <w:rsid w:val="006528B4"/>
    <w:rsid w:val="00662C28"/>
    <w:rsid w:val="00663445"/>
    <w:rsid w:val="006639DE"/>
    <w:rsid w:val="00664485"/>
    <w:rsid w:val="0066535A"/>
    <w:rsid w:val="006713BD"/>
    <w:rsid w:val="00671E1B"/>
    <w:rsid w:val="00674589"/>
    <w:rsid w:val="0067525E"/>
    <w:rsid w:val="0068330C"/>
    <w:rsid w:val="00690A78"/>
    <w:rsid w:val="006941C3"/>
    <w:rsid w:val="00694282"/>
    <w:rsid w:val="006944D1"/>
    <w:rsid w:val="006A1DD3"/>
    <w:rsid w:val="006A3A1A"/>
    <w:rsid w:val="006A47D1"/>
    <w:rsid w:val="006A48BD"/>
    <w:rsid w:val="006A4A59"/>
    <w:rsid w:val="006A662F"/>
    <w:rsid w:val="006A7EB0"/>
    <w:rsid w:val="006B0578"/>
    <w:rsid w:val="006B0BA7"/>
    <w:rsid w:val="006B17B3"/>
    <w:rsid w:val="006B2E3A"/>
    <w:rsid w:val="006B3D29"/>
    <w:rsid w:val="006B5618"/>
    <w:rsid w:val="006B665E"/>
    <w:rsid w:val="006C10DA"/>
    <w:rsid w:val="006C19A4"/>
    <w:rsid w:val="006C307D"/>
    <w:rsid w:val="006C5046"/>
    <w:rsid w:val="006C5222"/>
    <w:rsid w:val="006C67D7"/>
    <w:rsid w:val="006D1A45"/>
    <w:rsid w:val="006D1EBB"/>
    <w:rsid w:val="006D534F"/>
    <w:rsid w:val="006E1A89"/>
    <w:rsid w:val="006E1D0A"/>
    <w:rsid w:val="006E6B96"/>
    <w:rsid w:val="006E7692"/>
    <w:rsid w:val="006F141A"/>
    <w:rsid w:val="006F7B38"/>
    <w:rsid w:val="007007CE"/>
    <w:rsid w:val="00701621"/>
    <w:rsid w:val="00703A71"/>
    <w:rsid w:val="00703D73"/>
    <w:rsid w:val="00703EEB"/>
    <w:rsid w:val="00703EF7"/>
    <w:rsid w:val="007041E8"/>
    <w:rsid w:val="00704428"/>
    <w:rsid w:val="00704BE3"/>
    <w:rsid w:val="007052DE"/>
    <w:rsid w:val="00706554"/>
    <w:rsid w:val="00707DC4"/>
    <w:rsid w:val="007101D1"/>
    <w:rsid w:val="00710920"/>
    <w:rsid w:val="007112E8"/>
    <w:rsid w:val="00712A14"/>
    <w:rsid w:val="0071411B"/>
    <w:rsid w:val="007158AF"/>
    <w:rsid w:val="00715DA0"/>
    <w:rsid w:val="00716525"/>
    <w:rsid w:val="0071780B"/>
    <w:rsid w:val="00723D54"/>
    <w:rsid w:val="00726599"/>
    <w:rsid w:val="007271A3"/>
    <w:rsid w:val="0073089B"/>
    <w:rsid w:val="00731D05"/>
    <w:rsid w:val="0073241D"/>
    <w:rsid w:val="007344C4"/>
    <w:rsid w:val="00734EC1"/>
    <w:rsid w:val="00735366"/>
    <w:rsid w:val="00735804"/>
    <w:rsid w:val="00736480"/>
    <w:rsid w:val="00736577"/>
    <w:rsid w:val="00737343"/>
    <w:rsid w:val="00740258"/>
    <w:rsid w:val="00740EB0"/>
    <w:rsid w:val="0074188C"/>
    <w:rsid w:val="007423EB"/>
    <w:rsid w:val="00745842"/>
    <w:rsid w:val="00746CF5"/>
    <w:rsid w:val="0075127D"/>
    <w:rsid w:val="00752E48"/>
    <w:rsid w:val="00753FC4"/>
    <w:rsid w:val="007551B0"/>
    <w:rsid w:val="0075735C"/>
    <w:rsid w:val="00760600"/>
    <w:rsid w:val="00761A45"/>
    <w:rsid w:val="00765F27"/>
    <w:rsid w:val="0076615D"/>
    <w:rsid w:val="00770215"/>
    <w:rsid w:val="00770EC3"/>
    <w:rsid w:val="00771ADC"/>
    <w:rsid w:val="00771B5C"/>
    <w:rsid w:val="00772206"/>
    <w:rsid w:val="007732A6"/>
    <w:rsid w:val="007735E6"/>
    <w:rsid w:val="007751D7"/>
    <w:rsid w:val="00776615"/>
    <w:rsid w:val="007768FC"/>
    <w:rsid w:val="00787E10"/>
    <w:rsid w:val="00791DB5"/>
    <w:rsid w:val="007929CA"/>
    <w:rsid w:val="00794313"/>
    <w:rsid w:val="00794837"/>
    <w:rsid w:val="00796DF7"/>
    <w:rsid w:val="007A16FE"/>
    <w:rsid w:val="007A2733"/>
    <w:rsid w:val="007A2C7E"/>
    <w:rsid w:val="007A330D"/>
    <w:rsid w:val="007A4168"/>
    <w:rsid w:val="007A47C9"/>
    <w:rsid w:val="007A5559"/>
    <w:rsid w:val="007B17D3"/>
    <w:rsid w:val="007B197A"/>
    <w:rsid w:val="007B1A6D"/>
    <w:rsid w:val="007B3FB3"/>
    <w:rsid w:val="007B5E7A"/>
    <w:rsid w:val="007B712E"/>
    <w:rsid w:val="007B7672"/>
    <w:rsid w:val="007C216C"/>
    <w:rsid w:val="007C3087"/>
    <w:rsid w:val="007C31F8"/>
    <w:rsid w:val="007C4C3E"/>
    <w:rsid w:val="007C702E"/>
    <w:rsid w:val="007C7795"/>
    <w:rsid w:val="007D10E4"/>
    <w:rsid w:val="007D27F4"/>
    <w:rsid w:val="007D2813"/>
    <w:rsid w:val="007D707E"/>
    <w:rsid w:val="007D7B5F"/>
    <w:rsid w:val="007E1A8B"/>
    <w:rsid w:val="007E27DA"/>
    <w:rsid w:val="007E55F6"/>
    <w:rsid w:val="007E6822"/>
    <w:rsid w:val="007F0981"/>
    <w:rsid w:val="007F20EE"/>
    <w:rsid w:val="007F619A"/>
    <w:rsid w:val="007F770D"/>
    <w:rsid w:val="0080011C"/>
    <w:rsid w:val="00803C7C"/>
    <w:rsid w:val="00803FEC"/>
    <w:rsid w:val="00805383"/>
    <w:rsid w:val="008068EB"/>
    <w:rsid w:val="00807D48"/>
    <w:rsid w:val="00810DA2"/>
    <w:rsid w:val="0081276D"/>
    <w:rsid w:val="00813659"/>
    <w:rsid w:val="008148CD"/>
    <w:rsid w:val="008155D6"/>
    <w:rsid w:val="00816C03"/>
    <w:rsid w:val="008175C9"/>
    <w:rsid w:val="008250CF"/>
    <w:rsid w:val="00826286"/>
    <w:rsid w:val="008269B2"/>
    <w:rsid w:val="00830272"/>
    <w:rsid w:val="008302B8"/>
    <w:rsid w:val="00832AF4"/>
    <w:rsid w:val="008331C0"/>
    <w:rsid w:val="008332C8"/>
    <w:rsid w:val="0083533F"/>
    <w:rsid w:val="0083564A"/>
    <w:rsid w:val="00837344"/>
    <w:rsid w:val="0084201F"/>
    <w:rsid w:val="008510E9"/>
    <w:rsid w:val="00853D43"/>
    <w:rsid w:val="00861B57"/>
    <w:rsid w:val="00863DEA"/>
    <w:rsid w:val="00873E5C"/>
    <w:rsid w:val="008752B4"/>
    <w:rsid w:val="00875AD3"/>
    <w:rsid w:val="00880D24"/>
    <w:rsid w:val="00882210"/>
    <w:rsid w:val="00890BDD"/>
    <w:rsid w:val="00891775"/>
    <w:rsid w:val="00891A02"/>
    <w:rsid w:val="00891A51"/>
    <w:rsid w:val="0089218D"/>
    <w:rsid w:val="00892AB1"/>
    <w:rsid w:val="008937AD"/>
    <w:rsid w:val="00893D49"/>
    <w:rsid w:val="00897E09"/>
    <w:rsid w:val="00897FCA"/>
    <w:rsid w:val="008A016D"/>
    <w:rsid w:val="008A06B0"/>
    <w:rsid w:val="008A36DB"/>
    <w:rsid w:val="008A36E2"/>
    <w:rsid w:val="008A674E"/>
    <w:rsid w:val="008A7193"/>
    <w:rsid w:val="008B2483"/>
    <w:rsid w:val="008B3164"/>
    <w:rsid w:val="008B32D4"/>
    <w:rsid w:val="008B5170"/>
    <w:rsid w:val="008B6129"/>
    <w:rsid w:val="008C1688"/>
    <w:rsid w:val="008C1F76"/>
    <w:rsid w:val="008C63D8"/>
    <w:rsid w:val="008C6D98"/>
    <w:rsid w:val="008C70D7"/>
    <w:rsid w:val="008D0125"/>
    <w:rsid w:val="008D0CC7"/>
    <w:rsid w:val="008D32EA"/>
    <w:rsid w:val="008D671B"/>
    <w:rsid w:val="008D6BF1"/>
    <w:rsid w:val="008E1A4F"/>
    <w:rsid w:val="008E2007"/>
    <w:rsid w:val="008E3523"/>
    <w:rsid w:val="008F095F"/>
    <w:rsid w:val="008F1404"/>
    <w:rsid w:val="008F5D6D"/>
    <w:rsid w:val="008F6325"/>
    <w:rsid w:val="009014F2"/>
    <w:rsid w:val="00901EB4"/>
    <w:rsid w:val="009068C0"/>
    <w:rsid w:val="00906AA7"/>
    <w:rsid w:val="009070CE"/>
    <w:rsid w:val="00907C3D"/>
    <w:rsid w:val="00910101"/>
    <w:rsid w:val="0091171E"/>
    <w:rsid w:val="00912FAA"/>
    <w:rsid w:val="00913AC6"/>
    <w:rsid w:val="009142E3"/>
    <w:rsid w:val="009152AA"/>
    <w:rsid w:val="00916EE4"/>
    <w:rsid w:val="0092123D"/>
    <w:rsid w:val="00926DEC"/>
    <w:rsid w:val="00932082"/>
    <w:rsid w:val="009327AD"/>
    <w:rsid w:val="00934234"/>
    <w:rsid w:val="0093653E"/>
    <w:rsid w:val="00937802"/>
    <w:rsid w:val="00945019"/>
    <w:rsid w:val="00947D8C"/>
    <w:rsid w:val="00951450"/>
    <w:rsid w:val="009551D0"/>
    <w:rsid w:val="009561F3"/>
    <w:rsid w:val="00957318"/>
    <w:rsid w:val="009620C9"/>
    <w:rsid w:val="00964A61"/>
    <w:rsid w:val="00965AC0"/>
    <w:rsid w:val="00965EDA"/>
    <w:rsid w:val="00970708"/>
    <w:rsid w:val="00970C6B"/>
    <w:rsid w:val="00971087"/>
    <w:rsid w:val="00971736"/>
    <w:rsid w:val="009726C0"/>
    <w:rsid w:val="00974877"/>
    <w:rsid w:val="009748FE"/>
    <w:rsid w:val="0097561D"/>
    <w:rsid w:val="009771D3"/>
    <w:rsid w:val="00980151"/>
    <w:rsid w:val="00981202"/>
    <w:rsid w:val="00982292"/>
    <w:rsid w:val="009830E3"/>
    <w:rsid w:val="00985B38"/>
    <w:rsid w:val="00986B61"/>
    <w:rsid w:val="00987715"/>
    <w:rsid w:val="00990A62"/>
    <w:rsid w:val="00990BE8"/>
    <w:rsid w:val="0099147C"/>
    <w:rsid w:val="00993FB1"/>
    <w:rsid w:val="009957BE"/>
    <w:rsid w:val="00995A7E"/>
    <w:rsid w:val="00995C79"/>
    <w:rsid w:val="00996911"/>
    <w:rsid w:val="00997C78"/>
    <w:rsid w:val="009A0029"/>
    <w:rsid w:val="009A18DC"/>
    <w:rsid w:val="009A31D1"/>
    <w:rsid w:val="009A32DF"/>
    <w:rsid w:val="009A429E"/>
    <w:rsid w:val="009A5A75"/>
    <w:rsid w:val="009B1315"/>
    <w:rsid w:val="009B3071"/>
    <w:rsid w:val="009B5E42"/>
    <w:rsid w:val="009B5F46"/>
    <w:rsid w:val="009B625A"/>
    <w:rsid w:val="009B6B49"/>
    <w:rsid w:val="009B7E5A"/>
    <w:rsid w:val="009C1CC8"/>
    <w:rsid w:val="009C1FCC"/>
    <w:rsid w:val="009C2BC6"/>
    <w:rsid w:val="009C7973"/>
    <w:rsid w:val="009D0BED"/>
    <w:rsid w:val="009D1A27"/>
    <w:rsid w:val="009D2BBC"/>
    <w:rsid w:val="009D2C4E"/>
    <w:rsid w:val="009D4F8A"/>
    <w:rsid w:val="009E1B96"/>
    <w:rsid w:val="009E1BA8"/>
    <w:rsid w:val="009E2B71"/>
    <w:rsid w:val="009E3C92"/>
    <w:rsid w:val="009E6C43"/>
    <w:rsid w:val="009F1533"/>
    <w:rsid w:val="009F51D7"/>
    <w:rsid w:val="009F5B70"/>
    <w:rsid w:val="009F6B06"/>
    <w:rsid w:val="00A056C8"/>
    <w:rsid w:val="00A05AA6"/>
    <w:rsid w:val="00A22BCC"/>
    <w:rsid w:val="00A232AB"/>
    <w:rsid w:val="00A27380"/>
    <w:rsid w:val="00A30EB1"/>
    <w:rsid w:val="00A34744"/>
    <w:rsid w:val="00A36A8D"/>
    <w:rsid w:val="00A36ABB"/>
    <w:rsid w:val="00A45950"/>
    <w:rsid w:val="00A5550C"/>
    <w:rsid w:val="00A5681F"/>
    <w:rsid w:val="00A62276"/>
    <w:rsid w:val="00A62785"/>
    <w:rsid w:val="00A629BB"/>
    <w:rsid w:val="00A6617F"/>
    <w:rsid w:val="00A66882"/>
    <w:rsid w:val="00A714D7"/>
    <w:rsid w:val="00A771B0"/>
    <w:rsid w:val="00A777B0"/>
    <w:rsid w:val="00A82776"/>
    <w:rsid w:val="00A860E9"/>
    <w:rsid w:val="00A86856"/>
    <w:rsid w:val="00A86EF5"/>
    <w:rsid w:val="00A91A35"/>
    <w:rsid w:val="00A927AE"/>
    <w:rsid w:val="00A92A2E"/>
    <w:rsid w:val="00A952A4"/>
    <w:rsid w:val="00A95A0E"/>
    <w:rsid w:val="00A96534"/>
    <w:rsid w:val="00A96E33"/>
    <w:rsid w:val="00AA0CDA"/>
    <w:rsid w:val="00AA1298"/>
    <w:rsid w:val="00AA154D"/>
    <w:rsid w:val="00AA18AC"/>
    <w:rsid w:val="00AA3718"/>
    <w:rsid w:val="00AA3B32"/>
    <w:rsid w:val="00AA3C48"/>
    <w:rsid w:val="00AA4917"/>
    <w:rsid w:val="00AA5429"/>
    <w:rsid w:val="00AA5E9A"/>
    <w:rsid w:val="00AA638C"/>
    <w:rsid w:val="00AA72FE"/>
    <w:rsid w:val="00AA74D8"/>
    <w:rsid w:val="00AB75C5"/>
    <w:rsid w:val="00AC0613"/>
    <w:rsid w:val="00AC5C54"/>
    <w:rsid w:val="00AD006B"/>
    <w:rsid w:val="00AD012F"/>
    <w:rsid w:val="00AD0BD8"/>
    <w:rsid w:val="00AD3B0B"/>
    <w:rsid w:val="00AD4771"/>
    <w:rsid w:val="00AD4C80"/>
    <w:rsid w:val="00AD6817"/>
    <w:rsid w:val="00AD6DD5"/>
    <w:rsid w:val="00AD7A2A"/>
    <w:rsid w:val="00AE0178"/>
    <w:rsid w:val="00AE0D12"/>
    <w:rsid w:val="00AE7435"/>
    <w:rsid w:val="00AF1036"/>
    <w:rsid w:val="00AF1C0D"/>
    <w:rsid w:val="00AF26EE"/>
    <w:rsid w:val="00AF448C"/>
    <w:rsid w:val="00AF5EAA"/>
    <w:rsid w:val="00AF7C7B"/>
    <w:rsid w:val="00B043D3"/>
    <w:rsid w:val="00B0595A"/>
    <w:rsid w:val="00B1145E"/>
    <w:rsid w:val="00B136CE"/>
    <w:rsid w:val="00B14313"/>
    <w:rsid w:val="00B150A8"/>
    <w:rsid w:val="00B16D0B"/>
    <w:rsid w:val="00B16E4D"/>
    <w:rsid w:val="00B17ABB"/>
    <w:rsid w:val="00B25992"/>
    <w:rsid w:val="00B26351"/>
    <w:rsid w:val="00B26F91"/>
    <w:rsid w:val="00B274E5"/>
    <w:rsid w:val="00B30520"/>
    <w:rsid w:val="00B3072C"/>
    <w:rsid w:val="00B32025"/>
    <w:rsid w:val="00B34D71"/>
    <w:rsid w:val="00B36892"/>
    <w:rsid w:val="00B37E2F"/>
    <w:rsid w:val="00B418FB"/>
    <w:rsid w:val="00B41DB5"/>
    <w:rsid w:val="00B44068"/>
    <w:rsid w:val="00B45DFF"/>
    <w:rsid w:val="00B46CE6"/>
    <w:rsid w:val="00B46F68"/>
    <w:rsid w:val="00B475FD"/>
    <w:rsid w:val="00B47EAF"/>
    <w:rsid w:val="00B520F3"/>
    <w:rsid w:val="00B54D5E"/>
    <w:rsid w:val="00B56155"/>
    <w:rsid w:val="00B563BD"/>
    <w:rsid w:val="00B56798"/>
    <w:rsid w:val="00B62D49"/>
    <w:rsid w:val="00B63812"/>
    <w:rsid w:val="00B64A25"/>
    <w:rsid w:val="00B64F0F"/>
    <w:rsid w:val="00B65305"/>
    <w:rsid w:val="00B655D9"/>
    <w:rsid w:val="00B67107"/>
    <w:rsid w:val="00B71ABF"/>
    <w:rsid w:val="00B71F41"/>
    <w:rsid w:val="00B72107"/>
    <w:rsid w:val="00B738A9"/>
    <w:rsid w:val="00B74EE2"/>
    <w:rsid w:val="00B750D3"/>
    <w:rsid w:val="00B75D96"/>
    <w:rsid w:val="00B76B4B"/>
    <w:rsid w:val="00B77F9D"/>
    <w:rsid w:val="00B804FC"/>
    <w:rsid w:val="00B81DDD"/>
    <w:rsid w:val="00B82966"/>
    <w:rsid w:val="00B860B6"/>
    <w:rsid w:val="00B86206"/>
    <w:rsid w:val="00B87944"/>
    <w:rsid w:val="00B9046E"/>
    <w:rsid w:val="00B91309"/>
    <w:rsid w:val="00B91768"/>
    <w:rsid w:val="00B94DC5"/>
    <w:rsid w:val="00B95BB3"/>
    <w:rsid w:val="00B96A91"/>
    <w:rsid w:val="00B97E04"/>
    <w:rsid w:val="00BA519C"/>
    <w:rsid w:val="00BA54F0"/>
    <w:rsid w:val="00BB0618"/>
    <w:rsid w:val="00BB4C94"/>
    <w:rsid w:val="00BB7290"/>
    <w:rsid w:val="00BC0493"/>
    <w:rsid w:val="00BC13DC"/>
    <w:rsid w:val="00BC6E9A"/>
    <w:rsid w:val="00BD1689"/>
    <w:rsid w:val="00BD231A"/>
    <w:rsid w:val="00BD24A1"/>
    <w:rsid w:val="00BD3FC1"/>
    <w:rsid w:val="00BD5AE1"/>
    <w:rsid w:val="00BD6CEE"/>
    <w:rsid w:val="00BD6D92"/>
    <w:rsid w:val="00BD79E2"/>
    <w:rsid w:val="00BE1876"/>
    <w:rsid w:val="00BE1BEC"/>
    <w:rsid w:val="00BE2828"/>
    <w:rsid w:val="00BE7A59"/>
    <w:rsid w:val="00BF26D7"/>
    <w:rsid w:val="00BF2896"/>
    <w:rsid w:val="00BF2F9F"/>
    <w:rsid w:val="00C00A20"/>
    <w:rsid w:val="00C01505"/>
    <w:rsid w:val="00C0269A"/>
    <w:rsid w:val="00C03ADD"/>
    <w:rsid w:val="00C06753"/>
    <w:rsid w:val="00C06B02"/>
    <w:rsid w:val="00C070EB"/>
    <w:rsid w:val="00C073A8"/>
    <w:rsid w:val="00C1083B"/>
    <w:rsid w:val="00C10929"/>
    <w:rsid w:val="00C10C83"/>
    <w:rsid w:val="00C12620"/>
    <w:rsid w:val="00C1582D"/>
    <w:rsid w:val="00C1604B"/>
    <w:rsid w:val="00C16643"/>
    <w:rsid w:val="00C174F0"/>
    <w:rsid w:val="00C2256D"/>
    <w:rsid w:val="00C225B9"/>
    <w:rsid w:val="00C238BF"/>
    <w:rsid w:val="00C239C1"/>
    <w:rsid w:val="00C24335"/>
    <w:rsid w:val="00C2441B"/>
    <w:rsid w:val="00C30673"/>
    <w:rsid w:val="00C336EF"/>
    <w:rsid w:val="00C35140"/>
    <w:rsid w:val="00C45501"/>
    <w:rsid w:val="00C473C5"/>
    <w:rsid w:val="00C50931"/>
    <w:rsid w:val="00C50CFD"/>
    <w:rsid w:val="00C51BA1"/>
    <w:rsid w:val="00C5295D"/>
    <w:rsid w:val="00C556E0"/>
    <w:rsid w:val="00C610FA"/>
    <w:rsid w:val="00C61997"/>
    <w:rsid w:val="00C63E30"/>
    <w:rsid w:val="00C64129"/>
    <w:rsid w:val="00C643ED"/>
    <w:rsid w:val="00C64E46"/>
    <w:rsid w:val="00C67B10"/>
    <w:rsid w:val="00C70B42"/>
    <w:rsid w:val="00C74860"/>
    <w:rsid w:val="00C75BFE"/>
    <w:rsid w:val="00C76675"/>
    <w:rsid w:val="00C82816"/>
    <w:rsid w:val="00C83902"/>
    <w:rsid w:val="00C87BCC"/>
    <w:rsid w:val="00C93194"/>
    <w:rsid w:val="00C93582"/>
    <w:rsid w:val="00C96BC4"/>
    <w:rsid w:val="00CA0F79"/>
    <w:rsid w:val="00CA42E1"/>
    <w:rsid w:val="00CA43AD"/>
    <w:rsid w:val="00CA5C77"/>
    <w:rsid w:val="00CA66D6"/>
    <w:rsid w:val="00CB08CC"/>
    <w:rsid w:val="00CB09BE"/>
    <w:rsid w:val="00CB1525"/>
    <w:rsid w:val="00CB44E3"/>
    <w:rsid w:val="00CB5A76"/>
    <w:rsid w:val="00CB70EE"/>
    <w:rsid w:val="00CB7AEB"/>
    <w:rsid w:val="00CC07A0"/>
    <w:rsid w:val="00CC5203"/>
    <w:rsid w:val="00CC6EA2"/>
    <w:rsid w:val="00CD0228"/>
    <w:rsid w:val="00CD2DF3"/>
    <w:rsid w:val="00CD4C29"/>
    <w:rsid w:val="00CD557A"/>
    <w:rsid w:val="00CD65DC"/>
    <w:rsid w:val="00CE0301"/>
    <w:rsid w:val="00CE22DE"/>
    <w:rsid w:val="00CE6336"/>
    <w:rsid w:val="00CE639E"/>
    <w:rsid w:val="00CE7311"/>
    <w:rsid w:val="00CF0D3C"/>
    <w:rsid w:val="00CF12DD"/>
    <w:rsid w:val="00CF16EA"/>
    <w:rsid w:val="00CF1F8A"/>
    <w:rsid w:val="00CF46DA"/>
    <w:rsid w:val="00CF5A86"/>
    <w:rsid w:val="00CF5F2F"/>
    <w:rsid w:val="00D00CC3"/>
    <w:rsid w:val="00D0141F"/>
    <w:rsid w:val="00D01694"/>
    <w:rsid w:val="00D018C9"/>
    <w:rsid w:val="00D01E93"/>
    <w:rsid w:val="00D02B21"/>
    <w:rsid w:val="00D04443"/>
    <w:rsid w:val="00D06F8D"/>
    <w:rsid w:val="00D11E64"/>
    <w:rsid w:val="00D1342F"/>
    <w:rsid w:val="00D141FB"/>
    <w:rsid w:val="00D14459"/>
    <w:rsid w:val="00D14C97"/>
    <w:rsid w:val="00D16353"/>
    <w:rsid w:val="00D1793D"/>
    <w:rsid w:val="00D22C98"/>
    <w:rsid w:val="00D230EF"/>
    <w:rsid w:val="00D232FF"/>
    <w:rsid w:val="00D23F45"/>
    <w:rsid w:val="00D23FD2"/>
    <w:rsid w:val="00D2520C"/>
    <w:rsid w:val="00D25A99"/>
    <w:rsid w:val="00D2715B"/>
    <w:rsid w:val="00D30812"/>
    <w:rsid w:val="00D33BF2"/>
    <w:rsid w:val="00D356B8"/>
    <w:rsid w:val="00D35C2F"/>
    <w:rsid w:val="00D37D60"/>
    <w:rsid w:val="00D40457"/>
    <w:rsid w:val="00D43CB7"/>
    <w:rsid w:val="00D43DFB"/>
    <w:rsid w:val="00D47D30"/>
    <w:rsid w:val="00D5094A"/>
    <w:rsid w:val="00D50D56"/>
    <w:rsid w:val="00D516FA"/>
    <w:rsid w:val="00D56409"/>
    <w:rsid w:val="00D6002C"/>
    <w:rsid w:val="00D60788"/>
    <w:rsid w:val="00D62974"/>
    <w:rsid w:val="00D62A2C"/>
    <w:rsid w:val="00D64354"/>
    <w:rsid w:val="00D64B7F"/>
    <w:rsid w:val="00D6735B"/>
    <w:rsid w:val="00D72481"/>
    <w:rsid w:val="00D72ABC"/>
    <w:rsid w:val="00D76314"/>
    <w:rsid w:val="00D772E3"/>
    <w:rsid w:val="00D80538"/>
    <w:rsid w:val="00D82671"/>
    <w:rsid w:val="00D84A5D"/>
    <w:rsid w:val="00D85A4C"/>
    <w:rsid w:val="00D85C56"/>
    <w:rsid w:val="00D87517"/>
    <w:rsid w:val="00D90DB7"/>
    <w:rsid w:val="00D93541"/>
    <w:rsid w:val="00DA0C24"/>
    <w:rsid w:val="00DA10CB"/>
    <w:rsid w:val="00DA11BA"/>
    <w:rsid w:val="00DA1694"/>
    <w:rsid w:val="00DA537D"/>
    <w:rsid w:val="00DB0AB5"/>
    <w:rsid w:val="00DB2F23"/>
    <w:rsid w:val="00DB358F"/>
    <w:rsid w:val="00DB3B7B"/>
    <w:rsid w:val="00DB4768"/>
    <w:rsid w:val="00DB53C3"/>
    <w:rsid w:val="00DB6AE8"/>
    <w:rsid w:val="00DB6FEC"/>
    <w:rsid w:val="00DC02E6"/>
    <w:rsid w:val="00DC2A7A"/>
    <w:rsid w:val="00DC7B71"/>
    <w:rsid w:val="00DD4E2C"/>
    <w:rsid w:val="00DD4E6E"/>
    <w:rsid w:val="00DD609B"/>
    <w:rsid w:val="00DD689E"/>
    <w:rsid w:val="00DD7CEE"/>
    <w:rsid w:val="00DE2E5C"/>
    <w:rsid w:val="00DE6AB2"/>
    <w:rsid w:val="00DF0201"/>
    <w:rsid w:val="00DF1279"/>
    <w:rsid w:val="00DF75AD"/>
    <w:rsid w:val="00E00174"/>
    <w:rsid w:val="00E037B7"/>
    <w:rsid w:val="00E0693E"/>
    <w:rsid w:val="00E10A51"/>
    <w:rsid w:val="00E11726"/>
    <w:rsid w:val="00E119AE"/>
    <w:rsid w:val="00E12AED"/>
    <w:rsid w:val="00E12B15"/>
    <w:rsid w:val="00E135F6"/>
    <w:rsid w:val="00E15487"/>
    <w:rsid w:val="00E17331"/>
    <w:rsid w:val="00E174AC"/>
    <w:rsid w:val="00E17C33"/>
    <w:rsid w:val="00E17C3F"/>
    <w:rsid w:val="00E21121"/>
    <w:rsid w:val="00E21133"/>
    <w:rsid w:val="00E227F7"/>
    <w:rsid w:val="00E23E8A"/>
    <w:rsid w:val="00E2418C"/>
    <w:rsid w:val="00E250CA"/>
    <w:rsid w:val="00E26F05"/>
    <w:rsid w:val="00E2792F"/>
    <w:rsid w:val="00E27AD0"/>
    <w:rsid w:val="00E27D62"/>
    <w:rsid w:val="00E30575"/>
    <w:rsid w:val="00E34A41"/>
    <w:rsid w:val="00E36AC0"/>
    <w:rsid w:val="00E36FE2"/>
    <w:rsid w:val="00E400A6"/>
    <w:rsid w:val="00E40FF2"/>
    <w:rsid w:val="00E420C8"/>
    <w:rsid w:val="00E558C4"/>
    <w:rsid w:val="00E55D4C"/>
    <w:rsid w:val="00E56288"/>
    <w:rsid w:val="00E57833"/>
    <w:rsid w:val="00E57E95"/>
    <w:rsid w:val="00E57EE8"/>
    <w:rsid w:val="00E61139"/>
    <w:rsid w:val="00E624D8"/>
    <w:rsid w:val="00E62B8E"/>
    <w:rsid w:val="00E63B5B"/>
    <w:rsid w:val="00E65A08"/>
    <w:rsid w:val="00E65E7B"/>
    <w:rsid w:val="00E6722B"/>
    <w:rsid w:val="00E73CCE"/>
    <w:rsid w:val="00E74DF4"/>
    <w:rsid w:val="00E75DDC"/>
    <w:rsid w:val="00E77DA9"/>
    <w:rsid w:val="00E83B1A"/>
    <w:rsid w:val="00E86DC0"/>
    <w:rsid w:val="00E93112"/>
    <w:rsid w:val="00E949BF"/>
    <w:rsid w:val="00EA0287"/>
    <w:rsid w:val="00EA67B3"/>
    <w:rsid w:val="00EA6F64"/>
    <w:rsid w:val="00EB0957"/>
    <w:rsid w:val="00EB4B80"/>
    <w:rsid w:val="00EB720F"/>
    <w:rsid w:val="00EB73A6"/>
    <w:rsid w:val="00EC13F9"/>
    <w:rsid w:val="00EC3792"/>
    <w:rsid w:val="00EC3F82"/>
    <w:rsid w:val="00EC4F51"/>
    <w:rsid w:val="00EC67AB"/>
    <w:rsid w:val="00EC7BB8"/>
    <w:rsid w:val="00ED07F4"/>
    <w:rsid w:val="00ED1E87"/>
    <w:rsid w:val="00ED3AA1"/>
    <w:rsid w:val="00ED3CBD"/>
    <w:rsid w:val="00EE095F"/>
    <w:rsid w:val="00EE09A6"/>
    <w:rsid w:val="00EE1748"/>
    <w:rsid w:val="00EE437F"/>
    <w:rsid w:val="00EE4955"/>
    <w:rsid w:val="00EE7DDE"/>
    <w:rsid w:val="00EF091E"/>
    <w:rsid w:val="00EF347E"/>
    <w:rsid w:val="00EF3FFB"/>
    <w:rsid w:val="00EF4A48"/>
    <w:rsid w:val="00EF4E81"/>
    <w:rsid w:val="00EF53F5"/>
    <w:rsid w:val="00F00237"/>
    <w:rsid w:val="00F017BE"/>
    <w:rsid w:val="00F07D5B"/>
    <w:rsid w:val="00F1239A"/>
    <w:rsid w:val="00F12FD4"/>
    <w:rsid w:val="00F13DAA"/>
    <w:rsid w:val="00F15A07"/>
    <w:rsid w:val="00F168AF"/>
    <w:rsid w:val="00F16B93"/>
    <w:rsid w:val="00F17EF7"/>
    <w:rsid w:val="00F2097C"/>
    <w:rsid w:val="00F25174"/>
    <w:rsid w:val="00F3218C"/>
    <w:rsid w:val="00F333C3"/>
    <w:rsid w:val="00F41375"/>
    <w:rsid w:val="00F41633"/>
    <w:rsid w:val="00F43589"/>
    <w:rsid w:val="00F436F5"/>
    <w:rsid w:val="00F46AC1"/>
    <w:rsid w:val="00F47BDF"/>
    <w:rsid w:val="00F47D68"/>
    <w:rsid w:val="00F508AC"/>
    <w:rsid w:val="00F52076"/>
    <w:rsid w:val="00F52248"/>
    <w:rsid w:val="00F55E4B"/>
    <w:rsid w:val="00F56DF1"/>
    <w:rsid w:val="00F575AE"/>
    <w:rsid w:val="00F5796C"/>
    <w:rsid w:val="00F6254D"/>
    <w:rsid w:val="00F63776"/>
    <w:rsid w:val="00F65A63"/>
    <w:rsid w:val="00F672C6"/>
    <w:rsid w:val="00F70475"/>
    <w:rsid w:val="00F72E29"/>
    <w:rsid w:val="00F72F29"/>
    <w:rsid w:val="00F7369D"/>
    <w:rsid w:val="00F7447B"/>
    <w:rsid w:val="00F779DB"/>
    <w:rsid w:val="00F84F58"/>
    <w:rsid w:val="00F86EA3"/>
    <w:rsid w:val="00F904D2"/>
    <w:rsid w:val="00F9104F"/>
    <w:rsid w:val="00F936D8"/>
    <w:rsid w:val="00F93CC2"/>
    <w:rsid w:val="00F96707"/>
    <w:rsid w:val="00FA0E7C"/>
    <w:rsid w:val="00FA1560"/>
    <w:rsid w:val="00FA2A93"/>
    <w:rsid w:val="00FA68B5"/>
    <w:rsid w:val="00FB00AC"/>
    <w:rsid w:val="00FB1E87"/>
    <w:rsid w:val="00FB3423"/>
    <w:rsid w:val="00FB4339"/>
    <w:rsid w:val="00FB452B"/>
    <w:rsid w:val="00FB72F7"/>
    <w:rsid w:val="00FC0658"/>
    <w:rsid w:val="00FC0D26"/>
    <w:rsid w:val="00FC0DA7"/>
    <w:rsid w:val="00FC1BA2"/>
    <w:rsid w:val="00FC30F0"/>
    <w:rsid w:val="00FC331E"/>
    <w:rsid w:val="00FC4275"/>
    <w:rsid w:val="00FD03B0"/>
    <w:rsid w:val="00FD070B"/>
    <w:rsid w:val="00FD0F95"/>
    <w:rsid w:val="00FD3997"/>
    <w:rsid w:val="00FD7583"/>
    <w:rsid w:val="00FE1E16"/>
    <w:rsid w:val="00FE2381"/>
    <w:rsid w:val="00FE2B20"/>
    <w:rsid w:val="00FE39E8"/>
    <w:rsid w:val="00FF2130"/>
    <w:rsid w:val="00FF23A0"/>
    <w:rsid w:val="00FF2674"/>
    <w:rsid w:val="00FF4560"/>
    <w:rsid w:val="00FF4D49"/>
    <w:rsid w:val="00FF4FB9"/>
    <w:rsid w:val="00FF5672"/>
    <w:rsid w:val="00FF7E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66DFE1"/>
  <w15:chartTrackingRefBased/>
  <w15:docId w15:val="{88494B42-9522-40CC-B0F3-547CAD10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AZU20191">
    <w:name w:val="RAZU_2019_1"/>
    <w:next w:val="Standaard"/>
    <w:autoRedefine/>
    <w:qFormat/>
    <w:rsid w:val="00124CA2"/>
    <w:pPr>
      <w:pBdr>
        <w:left w:val="single" w:sz="18" w:space="4" w:color="C2B280"/>
      </w:pBdr>
      <w:tabs>
        <w:tab w:val="left" w:pos="284"/>
      </w:tabs>
      <w:spacing w:before="120" w:after="0" w:line="240" w:lineRule="auto"/>
      <w:jc w:val="both"/>
    </w:pPr>
    <w:rPr>
      <w:rFonts w:ascii="Calibri" w:hAnsi="Calibri"/>
      <w:b/>
      <w:bCs/>
      <w:color w:val="6C5A82"/>
    </w:rPr>
  </w:style>
  <w:style w:type="paragraph" w:styleId="Koptekst">
    <w:name w:val="header"/>
    <w:basedOn w:val="Standaard"/>
    <w:link w:val="KoptekstChar"/>
    <w:uiPriority w:val="99"/>
    <w:unhideWhenUsed/>
    <w:rsid w:val="00B307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072C"/>
  </w:style>
  <w:style w:type="paragraph" w:styleId="Voettekst">
    <w:name w:val="footer"/>
    <w:basedOn w:val="Standaard"/>
    <w:link w:val="VoettekstChar"/>
    <w:uiPriority w:val="99"/>
    <w:unhideWhenUsed/>
    <w:rsid w:val="00B307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072C"/>
  </w:style>
  <w:style w:type="table" w:styleId="Tabelraster">
    <w:name w:val="Table Grid"/>
    <w:basedOn w:val="Standaardtabel"/>
    <w:uiPriority w:val="39"/>
    <w:rsid w:val="00B30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F56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F5672"/>
    <w:rPr>
      <w:rFonts w:ascii="Segoe UI" w:hAnsi="Segoe UI" w:cs="Segoe UI"/>
      <w:sz w:val="18"/>
      <w:szCs w:val="18"/>
    </w:rPr>
  </w:style>
  <w:style w:type="paragraph" w:styleId="Lijstalinea">
    <w:name w:val="List Paragraph"/>
    <w:basedOn w:val="Standaard"/>
    <w:uiPriority w:val="34"/>
    <w:qFormat/>
    <w:rsid w:val="00BF2896"/>
    <w:pPr>
      <w:ind w:left="720"/>
      <w:contextualSpacing/>
    </w:pPr>
  </w:style>
  <w:style w:type="character" w:styleId="Verwijzingopmerking">
    <w:name w:val="annotation reference"/>
    <w:basedOn w:val="Standaardalinea-lettertype"/>
    <w:uiPriority w:val="99"/>
    <w:semiHidden/>
    <w:unhideWhenUsed/>
    <w:rsid w:val="008C6D98"/>
    <w:rPr>
      <w:sz w:val="16"/>
      <w:szCs w:val="16"/>
    </w:rPr>
  </w:style>
  <w:style w:type="paragraph" w:styleId="Tekstopmerking">
    <w:name w:val="annotation text"/>
    <w:basedOn w:val="Standaard"/>
    <w:link w:val="TekstopmerkingChar"/>
    <w:uiPriority w:val="99"/>
    <w:semiHidden/>
    <w:unhideWhenUsed/>
    <w:rsid w:val="008C6D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C6D98"/>
    <w:rPr>
      <w:sz w:val="20"/>
      <w:szCs w:val="20"/>
    </w:rPr>
  </w:style>
  <w:style w:type="paragraph" w:styleId="Onderwerpvanopmerking">
    <w:name w:val="annotation subject"/>
    <w:basedOn w:val="Tekstopmerking"/>
    <w:next w:val="Tekstopmerking"/>
    <w:link w:val="OnderwerpvanopmerkingChar"/>
    <w:uiPriority w:val="99"/>
    <w:semiHidden/>
    <w:unhideWhenUsed/>
    <w:rsid w:val="008C6D98"/>
    <w:rPr>
      <w:b/>
      <w:bCs/>
    </w:rPr>
  </w:style>
  <w:style w:type="character" w:customStyle="1" w:styleId="OnderwerpvanopmerkingChar">
    <w:name w:val="Onderwerp van opmerking Char"/>
    <w:basedOn w:val="TekstopmerkingChar"/>
    <w:link w:val="Onderwerpvanopmerking"/>
    <w:uiPriority w:val="99"/>
    <w:semiHidden/>
    <w:rsid w:val="008C6D98"/>
    <w:rPr>
      <w:b/>
      <w:bCs/>
      <w:sz w:val="20"/>
      <w:szCs w:val="20"/>
    </w:rPr>
  </w:style>
  <w:style w:type="paragraph" w:customStyle="1" w:styleId="paragraph">
    <w:name w:val="paragraph"/>
    <w:basedOn w:val="Standaard"/>
    <w:rsid w:val="004049B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4049B0"/>
  </w:style>
  <w:style w:type="character" w:customStyle="1" w:styleId="eop">
    <w:name w:val="eop"/>
    <w:basedOn w:val="Standaardalinea-lettertype"/>
    <w:rsid w:val="004049B0"/>
  </w:style>
  <w:style w:type="character" w:styleId="Hyperlink">
    <w:name w:val="Hyperlink"/>
    <w:basedOn w:val="Standaardalinea-lettertype"/>
    <w:uiPriority w:val="99"/>
    <w:rsid w:val="00237575"/>
    <w:rPr>
      <w:rFonts w:cs="Times New Roman"/>
      <w:color w:val="0000FF"/>
      <w:u w:val="single"/>
    </w:rPr>
  </w:style>
  <w:style w:type="paragraph" w:styleId="Normaalweb">
    <w:name w:val="Normal (Web)"/>
    <w:basedOn w:val="Standaard"/>
    <w:uiPriority w:val="99"/>
    <w:unhideWhenUsed/>
    <w:rsid w:val="00746CF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Voetnoottekst">
    <w:name w:val="footnote text"/>
    <w:basedOn w:val="Standaard"/>
    <w:link w:val="VoetnoottekstChar"/>
    <w:uiPriority w:val="99"/>
    <w:semiHidden/>
    <w:unhideWhenUsed/>
    <w:rsid w:val="00156A43"/>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56A43"/>
    <w:rPr>
      <w:sz w:val="20"/>
      <w:szCs w:val="20"/>
    </w:rPr>
  </w:style>
  <w:style w:type="character" w:styleId="Voetnootmarkering">
    <w:name w:val="footnote reference"/>
    <w:basedOn w:val="Standaardalinea-lettertype"/>
    <w:uiPriority w:val="99"/>
    <w:semiHidden/>
    <w:unhideWhenUsed/>
    <w:rsid w:val="00156A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46085">
      <w:bodyDiv w:val="1"/>
      <w:marLeft w:val="0"/>
      <w:marRight w:val="0"/>
      <w:marTop w:val="0"/>
      <w:marBottom w:val="0"/>
      <w:divBdr>
        <w:top w:val="none" w:sz="0" w:space="0" w:color="auto"/>
        <w:left w:val="none" w:sz="0" w:space="0" w:color="auto"/>
        <w:bottom w:val="none" w:sz="0" w:space="0" w:color="auto"/>
        <w:right w:val="none" w:sz="0" w:space="0" w:color="auto"/>
      </w:divBdr>
    </w:div>
    <w:div w:id="173497835">
      <w:bodyDiv w:val="1"/>
      <w:marLeft w:val="0"/>
      <w:marRight w:val="0"/>
      <w:marTop w:val="0"/>
      <w:marBottom w:val="0"/>
      <w:divBdr>
        <w:top w:val="none" w:sz="0" w:space="0" w:color="auto"/>
        <w:left w:val="none" w:sz="0" w:space="0" w:color="auto"/>
        <w:bottom w:val="none" w:sz="0" w:space="0" w:color="auto"/>
        <w:right w:val="none" w:sz="0" w:space="0" w:color="auto"/>
      </w:divBdr>
    </w:div>
    <w:div w:id="509175896">
      <w:bodyDiv w:val="1"/>
      <w:marLeft w:val="0"/>
      <w:marRight w:val="0"/>
      <w:marTop w:val="0"/>
      <w:marBottom w:val="0"/>
      <w:divBdr>
        <w:top w:val="none" w:sz="0" w:space="0" w:color="auto"/>
        <w:left w:val="none" w:sz="0" w:space="0" w:color="auto"/>
        <w:bottom w:val="none" w:sz="0" w:space="0" w:color="auto"/>
        <w:right w:val="none" w:sz="0" w:space="0" w:color="auto"/>
      </w:divBdr>
      <w:divsChild>
        <w:div w:id="300811686">
          <w:marLeft w:val="0"/>
          <w:marRight w:val="0"/>
          <w:marTop w:val="0"/>
          <w:marBottom w:val="0"/>
          <w:divBdr>
            <w:top w:val="none" w:sz="0" w:space="0" w:color="auto"/>
            <w:left w:val="none" w:sz="0" w:space="0" w:color="auto"/>
            <w:bottom w:val="none" w:sz="0" w:space="0" w:color="auto"/>
            <w:right w:val="none" w:sz="0" w:space="0" w:color="auto"/>
          </w:divBdr>
          <w:divsChild>
            <w:div w:id="1727297441">
              <w:marLeft w:val="0"/>
              <w:marRight w:val="0"/>
              <w:marTop w:val="0"/>
              <w:marBottom w:val="0"/>
              <w:divBdr>
                <w:top w:val="none" w:sz="0" w:space="0" w:color="auto"/>
                <w:left w:val="none" w:sz="0" w:space="0" w:color="auto"/>
                <w:bottom w:val="none" w:sz="0" w:space="0" w:color="auto"/>
                <w:right w:val="none" w:sz="0" w:space="0" w:color="auto"/>
              </w:divBdr>
            </w:div>
          </w:divsChild>
        </w:div>
        <w:div w:id="441147861">
          <w:marLeft w:val="0"/>
          <w:marRight w:val="0"/>
          <w:marTop w:val="0"/>
          <w:marBottom w:val="0"/>
          <w:divBdr>
            <w:top w:val="none" w:sz="0" w:space="0" w:color="auto"/>
            <w:left w:val="none" w:sz="0" w:space="0" w:color="auto"/>
            <w:bottom w:val="none" w:sz="0" w:space="0" w:color="auto"/>
            <w:right w:val="none" w:sz="0" w:space="0" w:color="auto"/>
          </w:divBdr>
          <w:divsChild>
            <w:div w:id="540558928">
              <w:marLeft w:val="0"/>
              <w:marRight w:val="0"/>
              <w:marTop w:val="0"/>
              <w:marBottom w:val="0"/>
              <w:divBdr>
                <w:top w:val="none" w:sz="0" w:space="0" w:color="auto"/>
                <w:left w:val="none" w:sz="0" w:space="0" w:color="auto"/>
                <w:bottom w:val="none" w:sz="0" w:space="0" w:color="auto"/>
                <w:right w:val="none" w:sz="0" w:space="0" w:color="auto"/>
              </w:divBdr>
            </w:div>
          </w:divsChild>
        </w:div>
        <w:div w:id="567543259">
          <w:marLeft w:val="0"/>
          <w:marRight w:val="0"/>
          <w:marTop w:val="0"/>
          <w:marBottom w:val="0"/>
          <w:divBdr>
            <w:top w:val="none" w:sz="0" w:space="0" w:color="auto"/>
            <w:left w:val="none" w:sz="0" w:space="0" w:color="auto"/>
            <w:bottom w:val="none" w:sz="0" w:space="0" w:color="auto"/>
            <w:right w:val="none" w:sz="0" w:space="0" w:color="auto"/>
          </w:divBdr>
          <w:divsChild>
            <w:div w:id="1730616086">
              <w:marLeft w:val="0"/>
              <w:marRight w:val="0"/>
              <w:marTop w:val="0"/>
              <w:marBottom w:val="0"/>
              <w:divBdr>
                <w:top w:val="none" w:sz="0" w:space="0" w:color="auto"/>
                <w:left w:val="none" w:sz="0" w:space="0" w:color="auto"/>
                <w:bottom w:val="none" w:sz="0" w:space="0" w:color="auto"/>
                <w:right w:val="none" w:sz="0" w:space="0" w:color="auto"/>
              </w:divBdr>
            </w:div>
          </w:divsChild>
        </w:div>
        <w:div w:id="678776845">
          <w:marLeft w:val="0"/>
          <w:marRight w:val="0"/>
          <w:marTop w:val="0"/>
          <w:marBottom w:val="0"/>
          <w:divBdr>
            <w:top w:val="none" w:sz="0" w:space="0" w:color="auto"/>
            <w:left w:val="none" w:sz="0" w:space="0" w:color="auto"/>
            <w:bottom w:val="none" w:sz="0" w:space="0" w:color="auto"/>
            <w:right w:val="none" w:sz="0" w:space="0" w:color="auto"/>
          </w:divBdr>
          <w:divsChild>
            <w:div w:id="665860454">
              <w:marLeft w:val="0"/>
              <w:marRight w:val="0"/>
              <w:marTop w:val="0"/>
              <w:marBottom w:val="0"/>
              <w:divBdr>
                <w:top w:val="none" w:sz="0" w:space="0" w:color="auto"/>
                <w:left w:val="none" w:sz="0" w:space="0" w:color="auto"/>
                <w:bottom w:val="none" w:sz="0" w:space="0" w:color="auto"/>
                <w:right w:val="none" w:sz="0" w:space="0" w:color="auto"/>
              </w:divBdr>
            </w:div>
          </w:divsChild>
        </w:div>
        <w:div w:id="898201561">
          <w:marLeft w:val="0"/>
          <w:marRight w:val="0"/>
          <w:marTop w:val="0"/>
          <w:marBottom w:val="0"/>
          <w:divBdr>
            <w:top w:val="none" w:sz="0" w:space="0" w:color="auto"/>
            <w:left w:val="none" w:sz="0" w:space="0" w:color="auto"/>
            <w:bottom w:val="none" w:sz="0" w:space="0" w:color="auto"/>
            <w:right w:val="none" w:sz="0" w:space="0" w:color="auto"/>
          </w:divBdr>
          <w:divsChild>
            <w:div w:id="457189310">
              <w:marLeft w:val="0"/>
              <w:marRight w:val="0"/>
              <w:marTop w:val="0"/>
              <w:marBottom w:val="0"/>
              <w:divBdr>
                <w:top w:val="none" w:sz="0" w:space="0" w:color="auto"/>
                <w:left w:val="none" w:sz="0" w:space="0" w:color="auto"/>
                <w:bottom w:val="none" w:sz="0" w:space="0" w:color="auto"/>
                <w:right w:val="none" w:sz="0" w:space="0" w:color="auto"/>
              </w:divBdr>
            </w:div>
          </w:divsChild>
        </w:div>
        <w:div w:id="1320814999">
          <w:marLeft w:val="0"/>
          <w:marRight w:val="0"/>
          <w:marTop w:val="0"/>
          <w:marBottom w:val="0"/>
          <w:divBdr>
            <w:top w:val="none" w:sz="0" w:space="0" w:color="auto"/>
            <w:left w:val="none" w:sz="0" w:space="0" w:color="auto"/>
            <w:bottom w:val="none" w:sz="0" w:space="0" w:color="auto"/>
            <w:right w:val="none" w:sz="0" w:space="0" w:color="auto"/>
          </w:divBdr>
          <w:divsChild>
            <w:div w:id="270556452">
              <w:marLeft w:val="0"/>
              <w:marRight w:val="0"/>
              <w:marTop w:val="0"/>
              <w:marBottom w:val="0"/>
              <w:divBdr>
                <w:top w:val="none" w:sz="0" w:space="0" w:color="auto"/>
                <w:left w:val="none" w:sz="0" w:space="0" w:color="auto"/>
                <w:bottom w:val="none" w:sz="0" w:space="0" w:color="auto"/>
                <w:right w:val="none" w:sz="0" w:space="0" w:color="auto"/>
              </w:divBdr>
            </w:div>
          </w:divsChild>
        </w:div>
        <w:div w:id="1353653334">
          <w:marLeft w:val="0"/>
          <w:marRight w:val="0"/>
          <w:marTop w:val="0"/>
          <w:marBottom w:val="0"/>
          <w:divBdr>
            <w:top w:val="none" w:sz="0" w:space="0" w:color="auto"/>
            <w:left w:val="none" w:sz="0" w:space="0" w:color="auto"/>
            <w:bottom w:val="none" w:sz="0" w:space="0" w:color="auto"/>
            <w:right w:val="none" w:sz="0" w:space="0" w:color="auto"/>
          </w:divBdr>
          <w:divsChild>
            <w:div w:id="1664619894">
              <w:marLeft w:val="0"/>
              <w:marRight w:val="0"/>
              <w:marTop w:val="0"/>
              <w:marBottom w:val="0"/>
              <w:divBdr>
                <w:top w:val="none" w:sz="0" w:space="0" w:color="auto"/>
                <w:left w:val="none" w:sz="0" w:space="0" w:color="auto"/>
                <w:bottom w:val="none" w:sz="0" w:space="0" w:color="auto"/>
                <w:right w:val="none" w:sz="0" w:space="0" w:color="auto"/>
              </w:divBdr>
            </w:div>
          </w:divsChild>
        </w:div>
        <w:div w:id="1393381724">
          <w:marLeft w:val="0"/>
          <w:marRight w:val="0"/>
          <w:marTop w:val="0"/>
          <w:marBottom w:val="0"/>
          <w:divBdr>
            <w:top w:val="none" w:sz="0" w:space="0" w:color="auto"/>
            <w:left w:val="none" w:sz="0" w:space="0" w:color="auto"/>
            <w:bottom w:val="none" w:sz="0" w:space="0" w:color="auto"/>
            <w:right w:val="none" w:sz="0" w:space="0" w:color="auto"/>
          </w:divBdr>
          <w:divsChild>
            <w:div w:id="719787378">
              <w:marLeft w:val="0"/>
              <w:marRight w:val="0"/>
              <w:marTop w:val="0"/>
              <w:marBottom w:val="0"/>
              <w:divBdr>
                <w:top w:val="none" w:sz="0" w:space="0" w:color="auto"/>
                <w:left w:val="none" w:sz="0" w:space="0" w:color="auto"/>
                <w:bottom w:val="none" w:sz="0" w:space="0" w:color="auto"/>
                <w:right w:val="none" w:sz="0" w:space="0" w:color="auto"/>
              </w:divBdr>
            </w:div>
          </w:divsChild>
        </w:div>
        <w:div w:id="1422871701">
          <w:marLeft w:val="0"/>
          <w:marRight w:val="0"/>
          <w:marTop w:val="0"/>
          <w:marBottom w:val="0"/>
          <w:divBdr>
            <w:top w:val="none" w:sz="0" w:space="0" w:color="auto"/>
            <w:left w:val="none" w:sz="0" w:space="0" w:color="auto"/>
            <w:bottom w:val="none" w:sz="0" w:space="0" w:color="auto"/>
            <w:right w:val="none" w:sz="0" w:space="0" w:color="auto"/>
          </w:divBdr>
          <w:divsChild>
            <w:div w:id="1494028378">
              <w:marLeft w:val="0"/>
              <w:marRight w:val="0"/>
              <w:marTop w:val="0"/>
              <w:marBottom w:val="0"/>
              <w:divBdr>
                <w:top w:val="none" w:sz="0" w:space="0" w:color="auto"/>
                <w:left w:val="none" w:sz="0" w:space="0" w:color="auto"/>
                <w:bottom w:val="none" w:sz="0" w:space="0" w:color="auto"/>
                <w:right w:val="none" w:sz="0" w:space="0" w:color="auto"/>
              </w:divBdr>
            </w:div>
          </w:divsChild>
        </w:div>
        <w:div w:id="1451625943">
          <w:marLeft w:val="0"/>
          <w:marRight w:val="0"/>
          <w:marTop w:val="0"/>
          <w:marBottom w:val="0"/>
          <w:divBdr>
            <w:top w:val="none" w:sz="0" w:space="0" w:color="auto"/>
            <w:left w:val="none" w:sz="0" w:space="0" w:color="auto"/>
            <w:bottom w:val="none" w:sz="0" w:space="0" w:color="auto"/>
            <w:right w:val="none" w:sz="0" w:space="0" w:color="auto"/>
          </w:divBdr>
          <w:divsChild>
            <w:div w:id="157346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973957">
      <w:bodyDiv w:val="1"/>
      <w:marLeft w:val="0"/>
      <w:marRight w:val="0"/>
      <w:marTop w:val="0"/>
      <w:marBottom w:val="0"/>
      <w:divBdr>
        <w:top w:val="none" w:sz="0" w:space="0" w:color="auto"/>
        <w:left w:val="none" w:sz="0" w:space="0" w:color="auto"/>
        <w:bottom w:val="none" w:sz="0" w:space="0" w:color="auto"/>
        <w:right w:val="none" w:sz="0" w:space="0" w:color="auto"/>
      </w:divBdr>
    </w:div>
    <w:div w:id="920404763">
      <w:bodyDiv w:val="1"/>
      <w:marLeft w:val="0"/>
      <w:marRight w:val="0"/>
      <w:marTop w:val="0"/>
      <w:marBottom w:val="0"/>
      <w:divBdr>
        <w:top w:val="none" w:sz="0" w:space="0" w:color="auto"/>
        <w:left w:val="none" w:sz="0" w:space="0" w:color="auto"/>
        <w:bottom w:val="none" w:sz="0" w:space="0" w:color="auto"/>
        <w:right w:val="none" w:sz="0" w:space="0" w:color="auto"/>
      </w:divBdr>
      <w:divsChild>
        <w:div w:id="1291937087">
          <w:marLeft w:val="0"/>
          <w:marRight w:val="0"/>
          <w:marTop w:val="0"/>
          <w:marBottom w:val="0"/>
          <w:divBdr>
            <w:top w:val="none" w:sz="0" w:space="0" w:color="auto"/>
            <w:left w:val="none" w:sz="0" w:space="0" w:color="auto"/>
            <w:bottom w:val="none" w:sz="0" w:space="0" w:color="auto"/>
            <w:right w:val="none" w:sz="0" w:space="0" w:color="auto"/>
          </w:divBdr>
        </w:div>
      </w:divsChild>
    </w:div>
    <w:div w:id="1566256436">
      <w:bodyDiv w:val="1"/>
      <w:marLeft w:val="0"/>
      <w:marRight w:val="0"/>
      <w:marTop w:val="0"/>
      <w:marBottom w:val="0"/>
      <w:divBdr>
        <w:top w:val="none" w:sz="0" w:space="0" w:color="auto"/>
        <w:left w:val="none" w:sz="0" w:space="0" w:color="auto"/>
        <w:bottom w:val="none" w:sz="0" w:space="0" w:color="auto"/>
        <w:right w:val="none" w:sz="0" w:space="0" w:color="auto"/>
      </w:divBdr>
    </w:div>
    <w:div w:id="1620840143">
      <w:bodyDiv w:val="1"/>
      <w:marLeft w:val="0"/>
      <w:marRight w:val="0"/>
      <w:marTop w:val="0"/>
      <w:marBottom w:val="0"/>
      <w:divBdr>
        <w:top w:val="none" w:sz="0" w:space="0" w:color="auto"/>
        <w:left w:val="none" w:sz="0" w:space="0" w:color="auto"/>
        <w:bottom w:val="none" w:sz="0" w:space="0" w:color="auto"/>
        <w:right w:val="none" w:sz="0" w:space="0" w:color="auto"/>
      </w:divBdr>
      <w:divsChild>
        <w:div w:id="9842152">
          <w:marLeft w:val="0"/>
          <w:marRight w:val="0"/>
          <w:marTop w:val="0"/>
          <w:marBottom w:val="0"/>
          <w:divBdr>
            <w:top w:val="none" w:sz="0" w:space="0" w:color="auto"/>
            <w:left w:val="none" w:sz="0" w:space="0" w:color="auto"/>
            <w:bottom w:val="none" w:sz="0" w:space="0" w:color="auto"/>
            <w:right w:val="none" w:sz="0" w:space="0" w:color="auto"/>
          </w:divBdr>
        </w:div>
        <w:div w:id="821316879">
          <w:marLeft w:val="0"/>
          <w:marRight w:val="0"/>
          <w:marTop w:val="0"/>
          <w:marBottom w:val="0"/>
          <w:divBdr>
            <w:top w:val="none" w:sz="0" w:space="0" w:color="auto"/>
            <w:left w:val="none" w:sz="0" w:space="0" w:color="auto"/>
            <w:bottom w:val="none" w:sz="0" w:space="0" w:color="auto"/>
            <w:right w:val="none" w:sz="0" w:space="0" w:color="auto"/>
          </w:divBdr>
        </w:div>
      </w:divsChild>
    </w:div>
    <w:div w:id="207712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vng.nl/sites/default/files/2021-03/20210304_ledenbrief_standaardverklaring-per-1-4-2021-api-standaarden-voor-zaakgericht-werk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Bakker\OneDrive%20-%20ICT%20Dienst%20Houten\Briefpapier_RAZU.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1E95-8C1B-42AA-B2EE-CDADA3A4B7E8}">
  <ds:schemaRefs>
    <ds:schemaRef ds:uri="http://schemas.microsoft.com/sharepoint/v3/contenttype/forms"/>
  </ds:schemaRefs>
</ds:datastoreItem>
</file>

<file path=customXml/itemProps2.xml><?xml version="1.0" encoding="utf-8"?>
<ds:datastoreItem xmlns:ds="http://schemas.openxmlformats.org/officeDocument/2006/customXml" ds:itemID="{9EEF5D76-3189-43CA-9787-A085605B08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0BD9E5-5611-4750-A513-3E00D431047A}"/>
</file>

<file path=customXml/itemProps4.xml><?xml version="1.0" encoding="utf-8"?>
<ds:datastoreItem xmlns:ds="http://schemas.openxmlformats.org/officeDocument/2006/customXml" ds:itemID="{F40F802C-916A-4449-A949-8AEE621D7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Briefpapier_RAZU</Template>
  <TotalTime>323</TotalTime>
  <Pages>7</Pages>
  <Words>2351</Words>
  <Characters>12933</Characters>
  <Application>Microsoft Office Word</Application>
  <DocSecurity>0</DocSecurity>
  <Lines>107</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15254</CharactersWithSpaces>
  <SharedDoc>false</SharedDoc>
  <HLinks>
    <vt:vector size="6" baseType="variant">
      <vt:variant>
        <vt:i4>1376266</vt:i4>
      </vt:variant>
      <vt:variant>
        <vt:i4>0</vt:i4>
      </vt:variant>
      <vt:variant>
        <vt:i4>0</vt:i4>
      </vt:variant>
      <vt:variant>
        <vt:i4>5</vt:i4>
      </vt:variant>
      <vt:variant>
        <vt:lpwstr>https://vng.nl/sites/default/files/2021-03/20210304_ledenbrief_standaardverklaring-per-1-4-2021-api-standaarden-voor-zaakgericht-werken.pdf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Wietse Bakker</dc:creator>
  <cp:keywords/>
  <dc:description/>
  <cp:lastModifiedBy>Ria van der Eerden</cp:lastModifiedBy>
  <cp:revision>60</cp:revision>
  <cp:lastPrinted>2021-02-09T03:37:00Z</cp:lastPrinted>
  <dcterms:created xsi:type="dcterms:W3CDTF">2021-03-12T19:18:00Z</dcterms:created>
  <dcterms:modified xsi:type="dcterms:W3CDTF">2021-04-08T11:51:00Z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26c6a31d-330e-4568-8fe7-0fb0319690ec</vt:lpwstr>
  </property>
  <property fmtid="{D5CDD505-2E9C-101B-9397-08002B2CF9AE}" pid="3" name="Order">
    <vt:r8>7214900</vt:r8>
  </property>
  <property fmtid="{D5CDD505-2E9C-101B-9397-08002B2CF9AE}" pid="4" name="ContentTypeId">
    <vt:lpwstr>0x010100B7D4B3295838E041AA48681593A920AB</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