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16565" w14:textId="77777777" w:rsidR="00990742" w:rsidRPr="00E16D80" w:rsidRDefault="00990742" w:rsidP="00990742">
      <w:pPr>
        <w:pStyle w:val="Kop2"/>
        <w:rPr>
          <w:rFonts w:ascii="Arial" w:hAnsi="Arial" w:cs="Arial"/>
        </w:rPr>
      </w:pPr>
      <w:bookmarkStart w:id="0" w:name="_Toc5619148"/>
      <w:bookmarkStart w:id="1" w:name="_Toc5619196"/>
      <w:r w:rsidRPr="00E16D80">
        <w:rPr>
          <w:rFonts w:ascii="Arial" w:hAnsi="Arial" w:cs="Arial"/>
        </w:rPr>
        <w:t>1.2 Ontwikkeling van de gemeentelijke bijdragen 2016-2023</w:t>
      </w:r>
      <w:bookmarkEnd w:id="0"/>
      <w:bookmarkEnd w:id="1"/>
    </w:p>
    <w:p w14:paraId="48DBBF4A" w14:textId="77777777" w:rsidR="00990742" w:rsidRPr="00E16D80" w:rsidRDefault="00990742" w:rsidP="00990742">
      <w:pPr>
        <w:rPr>
          <w:rFonts w:ascii="Arial" w:hAnsi="Arial" w:cs="Arial"/>
          <w:b/>
        </w:rPr>
      </w:pPr>
    </w:p>
    <w:p w14:paraId="777B65FC" w14:textId="2E69C906" w:rsidR="00990742" w:rsidRDefault="00990742" w:rsidP="00990742">
      <w:pPr>
        <w:rPr>
          <w:rFonts w:ascii="Arial" w:hAnsi="Arial" w:cs="Arial"/>
          <w:sz w:val="22"/>
          <w:szCs w:val="22"/>
          <w:u w:val="single"/>
        </w:rPr>
      </w:pPr>
      <w:bookmarkStart w:id="2" w:name="_GoBack"/>
      <w:r w:rsidRPr="00E16D80">
        <w:rPr>
          <w:noProof/>
        </w:rPr>
        <w:drawing>
          <wp:inline distT="0" distB="0" distL="0" distR="0" wp14:anchorId="4940C7E5" wp14:editId="567C39C0">
            <wp:extent cx="9356377" cy="3243586"/>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33165" cy="3270206"/>
                    </a:xfrm>
                    <a:prstGeom prst="rect">
                      <a:avLst/>
                    </a:prstGeom>
                    <a:noFill/>
                    <a:ln>
                      <a:noFill/>
                    </a:ln>
                  </pic:spPr>
                </pic:pic>
              </a:graphicData>
            </a:graphic>
          </wp:inline>
        </w:drawing>
      </w:r>
      <w:bookmarkEnd w:id="2"/>
    </w:p>
    <w:p w14:paraId="4AFF8FE9" w14:textId="77777777" w:rsidR="00990742" w:rsidRDefault="00990742" w:rsidP="00812D08">
      <w:pPr>
        <w:rPr>
          <w:rFonts w:ascii="Arial" w:hAnsi="Arial" w:cs="Arial"/>
          <w:sz w:val="22"/>
          <w:szCs w:val="22"/>
          <w:u w:val="single"/>
        </w:rPr>
      </w:pPr>
    </w:p>
    <w:p w14:paraId="48A276B1" w14:textId="77777777" w:rsidR="00990742" w:rsidRDefault="00990742" w:rsidP="00812D08">
      <w:pPr>
        <w:rPr>
          <w:rFonts w:ascii="Arial" w:hAnsi="Arial" w:cs="Arial"/>
          <w:sz w:val="22"/>
          <w:szCs w:val="22"/>
          <w:u w:val="single"/>
        </w:rPr>
      </w:pPr>
    </w:p>
    <w:p w14:paraId="44E5133D" w14:textId="73D189DA" w:rsidR="00812D08" w:rsidRDefault="00812D08" w:rsidP="00812D08">
      <w:pPr>
        <w:rPr>
          <w:rFonts w:ascii="Arial" w:hAnsi="Arial" w:cs="Arial"/>
          <w:sz w:val="22"/>
          <w:szCs w:val="22"/>
          <w:u w:val="single"/>
        </w:rPr>
      </w:pPr>
      <w:r>
        <w:rPr>
          <w:rFonts w:ascii="Arial" w:hAnsi="Arial" w:cs="Arial"/>
          <w:sz w:val="22"/>
          <w:szCs w:val="22"/>
          <w:u w:val="single"/>
        </w:rPr>
        <w:t>Korte toelichting</w:t>
      </w:r>
    </w:p>
    <w:p w14:paraId="231FEC32" w14:textId="77777777" w:rsidR="00812D08" w:rsidRDefault="00812D08" w:rsidP="00812D08">
      <w:pPr>
        <w:pStyle w:val="Lijstalinea"/>
        <w:numPr>
          <w:ilvl w:val="0"/>
          <w:numId w:val="1"/>
        </w:numPr>
        <w:rPr>
          <w:rFonts w:ascii="Arial" w:hAnsi="Arial" w:cs="Arial"/>
        </w:rPr>
      </w:pPr>
      <w:r>
        <w:rPr>
          <w:rFonts w:ascii="Arial" w:hAnsi="Arial" w:cs="Arial"/>
        </w:rPr>
        <w:t xml:space="preserve">De verschillen tussen de </w:t>
      </w:r>
      <w:r>
        <w:rPr>
          <w:rFonts w:ascii="Arial" w:hAnsi="Arial" w:cs="Arial"/>
          <w:shd w:val="clear" w:color="auto" w:fill="C00000"/>
        </w:rPr>
        <w:t>totaaloptellingen</w:t>
      </w:r>
      <w:r>
        <w:rPr>
          <w:rFonts w:ascii="Arial" w:hAnsi="Arial" w:cs="Arial"/>
        </w:rPr>
        <w:t xml:space="preserve"> van de gemeentelijke bijdragen en de totale kosten (het jaarbudget) worden veroorzaakt doordat voor de dekking van een deel van de kosten jaarlijks wisselende bedragen uit de bestemmingsreserves worden ingezet en er geregeld incidentele andere inkomsten zijn dan de gemeentelijke bijdragen.</w:t>
      </w:r>
    </w:p>
    <w:p w14:paraId="1AB4F642" w14:textId="77777777" w:rsidR="00812D08" w:rsidRDefault="00812D08" w:rsidP="00812D08">
      <w:pPr>
        <w:pStyle w:val="Lijstalinea"/>
        <w:numPr>
          <w:ilvl w:val="0"/>
          <w:numId w:val="1"/>
        </w:numPr>
        <w:rPr>
          <w:rFonts w:ascii="Arial" w:hAnsi="Arial" w:cs="Arial"/>
        </w:rPr>
      </w:pPr>
      <w:r>
        <w:rPr>
          <w:rFonts w:ascii="Arial" w:hAnsi="Arial" w:cs="Arial"/>
        </w:rPr>
        <w:t xml:space="preserve">De </w:t>
      </w:r>
      <w:r>
        <w:rPr>
          <w:rFonts w:ascii="Arial" w:hAnsi="Arial" w:cs="Arial"/>
          <w:shd w:val="clear" w:color="auto" w:fill="00B0F0"/>
        </w:rPr>
        <w:t>meerkosten (incidenteel en structureel) van het nieuwe beleid</w:t>
      </w:r>
      <w:r>
        <w:rPr>
          <w:rFonts w:ascii="Arial" w:hAnsi="Arial" w:cs="Arial"/>
        </w:rPr>
        <w:t xml:space="preserve"> (</w:t>
      </w:r>
      <w:r>
        <w:rPr>
          <w:rFonts w:ascii="Arial" w:hAnsi="Arial" w:cs="Arial"/>
          <w:i/>
        </w:rPr>
        <w:t>Vooruit met het verleden</w:t>
      </w:r>
      <w:r>
        <w:rPr>
          <w:rFonts w:ascii="Arial" w:hAnsi="Arial" w:cs="Arial"/>
        </w:rPr>
        <w:t xml:space="preserve">) zoals dat vanaf de begrotingswijziging 2019 wordt uitgevoerd, bestaan uit: de salariskosten voor twee nieuwe functionarissen voor digitaal informatiebeheer, opleidingskosten, functieherwaarderingskosten, extra kantoorruimte, extra kosten ICT-dienstverlening, kosten vernieuwing website, extra kosten digitalisering, hosting en onderhoud applicaties, extra materiaalkosten en de kosten voor het e-depot. Deze kosten zijn in de bijlage bij actielijn 17 van het beleidsplan globaal in beeld gebracht, inclusief de gevolgen voor de gemeentelijke bijdragen, maar zonder rekening te houden met de toetreding van </w:t>
      </w:r>
      <w:proofErr w:type="spellStart"/>
      <w:r>
        <w:rPr>
          <w:rFonts w:ascii="Arial" w:hAnsi="Arial" w:cs="Arial"/>
        </w:rPr>
        <w:t>Vijfheerenlanden</w:t>
      </w:r>
      <w:proofErr w:type="spellEnd"/>
      <w:r>
        <w:rPr>
          <w:rFonts w:ascii="Arial" w:hAnsi="Arial" w:cs="Arial"/>
        </w:rPr>
        <w:t>.</w:t>
      </w:r>
    </w:p>
    <w:p w14:paraId="6C52C810" w14:textId="78165121" w:rsidR="00812D08" w:rsidRPr="00915BDD" w:rsidRDefault="00812D08" w:rsidP="00812D08">
      <w:pPr>
        <w:pStyle w:val="Lijstalinea"/>
        <w:numPr>
          <w:ilvl w:val="0"/>
          <w:numId w:val="1"/>
        </w:numPr>
        <w:rPr>
          <w:rFonts w:ascii="Arial" w:hAnsi="Arial" w:cs="Arial"/>
        </w:rPr>
      </w:pPr>
      <w:r w:rsidRPr="00915BDD">
        <w:rPr>
          <w:rFonts w:ascii="Arial" w:hAnsi="Arial" w:cs="Arial"/>
        </w:rPr>
        <w:lastRenderedPageBreak/>
        <w:t xml:space="preserve">Uitgaande van een inwoneraantal van 54.000 en een hoeveelheid over te dragen archief van 1620 meter voor de </w:t>
      </w:r>
      <w:r w:rsidRPr="00915BDD">
        <w:rPr>
          <w:rFonts w:ascii="Arial" w:hAnsi="Arial" w:cs="Arial"/>
          <w:shd w:val="clear" w:color="auto" w:fill="92D050"/>
        </w:rPr>
        <w:t xml:space="preserve">nieuwe gemeente </w:t>
      </w:r>
      <w:proofErr w:type="spellStart"/>
      <w:r w:rsidRPr="00915BDD">
        <w:rPr>
          <w:rFonts w:ascii="Arial" w:hAnsi="Arial" w:cs="Arial"/>
          <w:shd w:val="clear" w:color="auto" w:fill="92D050"/>
        </w:rPr>
        <w:t>Vijfheerenlanden</w:t>
      </w:r>
      <w:proofErr w:type="spellEnd"/>
      <w:r w:rsidRPr="00915BDD">
        <w:rPr>
          <w:rFonts w:ascii="Arial" w:hAnsi="Arial" w:cs="Arial"/>
        </w:rPr>
        <w:t xml:space="preserve"> is een </w:t>
      </w:r>
      <w:r w:rsidRPr="00915BDD">
        <w:rPr>
          <w:rFonts w:ascii="Arial" w:hAnsi="Arial" w:cs="Arial"/>
          <w:shd w:val="clear" w:color="auto" w:fill="92D050"/>
        </w:rPr>
        <w:t>p</w:t>
      </w:r>
      <w:r w:rsidRPr="00915BDD">
        <w:rPr>
          <w:rFonts w:ascii="Arial" w:hAnsi="Arial" w:cs="Arial"/>
          <w:u w:val="single"/>
          <w:shd w:val="clear" w:color="auto" w:fill="92D050"/>
        </w:rPr>
        <w:t>rognose</w:t>
      </w:r>
      <w:r w:rsidRPr="00915BDD">
        <w:rPr>
          <w:rFonts w:ascii="Arial" w:hAnsi="Arial" w:cs="Arial"/>
          <w:shd w:val="clear" w:color="auto" w:fill="92D050"/>
        </w:rPr>
        <w:t xml:space="preserve"> </w:t>
      </w:r>
      <w:r w:rsidRPr="00915BDD">
        <w:rPr>
          <w:rFonts w:ascii="Arial" w:hAnsi="Arial" w:cs="Arial"/>
        </w:rPr>
        <w:t xml:space="preserve">gemaakt van de bijdragen en kosten met </w:t>
      </w:r>
      <w:proofErr w:type="spellStart"/>
      <w:r w:rsidRPr="00915BDD">
        <w:rPr>
          <w:rFonts w:ascii="Arial" w:hAnsi="Arial" w:cs="Arial"/>
        </w:rPr>
        <w:t>Vijfheerenlanden</w:t>
      </w:r>
      <w:proofErr w:type="spellEnd"/>
      <w:r w:rsidRPr="00915BDD">
        <w:rPr>
          <w:rFonts w:ascii="Arial" w:hAnsi="Arial" w:cs="Arial"/>
        </w:rPr>
        <w:t xml:space="preserve"> als deelnemer vanaf 2020. Tegenover de extra inkomsten staan in dat geval extra kosten (beide structureel) in verband met deze uitbreiding van in totaal € 61.537 (salariskosten voor 0,5 extra functionaris ad € 36.537 en € 25.000 voor extra depotruimte). Het gaat uitdrukkelijk om een </w:t>
      </w:r>
      <w:r w:rsidRPr="00915BDD">
        <w:rPr>
          <w:rFonts w:ascii="Arial" w:hAnsi="Arial" w:cs="Arial"/>
          <w:shd w:val="clear" w:color="auto" w:fill="92D050"/>
        </w:rPr>
        <w:t>prognose</w:t>
      </w:r>
      <w:r w:rsidRPr="00915BDD">
        <w:rPr>
          <w:rFonts w:ascii="Arial" w:hAnsi="Arial" w:cs="Arial"/>
        </w:rPr>
        <w:t xml:space="preserve">, waarbij bijvoorbeeld voor </w:t>
      </w:r>
      <w:proofErr w:type="spellStart"/>
      <w:r w:rsidRPr="00915BDD">
        <w:rPr>
          <w:rFonts w:ascii="Arial" w:hAnsi="Arial" w:cs="Arial"/>
        </w:rPr>
        <w:t>Vijfheerenlanden</w:t>
      </w:r>
      <w:proofErr w:type="spellEnd"/>
      <w:r w:rsidRPr="00915BDD">
        <w:rPr>
          <w:rFonts w:ascii="Arial" w:hAnsi="Arial" w:cs="Arial"/>
        </w:rPr>
        <w:t xml:space="preserve"> is gerekend met de recente inwoneraantallen van 54.000, terwijl voor de andere vijf gemeenten nog de inwoneraantallen uit 2014 worden gehanteerd. Bovendien wordt ervan uitgegaan dat </w:t>
      </w:r>
      <w:proofErr w:type="spellStart"/>
      <w:r w:rsidRPr="00915BDD">
        <w:rPr>
          <w:rFonts w:ascii="Arial" w:hAnsi="Arial" w:cs="Arial"/>
        </w:rPr>
        <w:t>Vijfheerenlanden</w:t>
      </w:r>
      <w:proofErr w:type="spellEnd"/>
      <w:r w:rsidRPr="00915BDD">
        <w:rPr>
          <w:rFonts w:ascii="Arial" w:hAnsi="Arial" w:cs="Arial"/>
        </w:rPr>
        <w:t xml:space="preserve"> al in 2020 1620 strekkende meter archief aan het RHC overdraagt.</w:t>
      </w:r>
    </w:p>
    <w:p w14:paraId="3ED2071F" w14:textId="77777777" w:rsidR="00812D08" w:rsidRDefault="00812D08" w:rsidP="00812D08">
      <w:pPr>
        <w:pStyle w:val="Lijstalinea"/>
        <w:numPr>
          <w:ilvl w:val="0"/>
          <w:numId w:val="1"/>
        </w:numPr>
        <w:rPr>
          <w:rFonts w:ascii="Arial" w:hAnsi="Arial" w:cs="Arial"/>
        </w:rPr>
      </w:pPr>
      <w:r>
        <w:rPr>
          <w:rFonts w:ascii="Arial" w:hAnsi="Arial" w:cs="Arial"/>
        </w:rPr>
        <w:t xml:space="preserve">In onderstaande grafieken is per gemeente de hier beschreven ontwikkeling op een andere wijze nogmaals in beeld gebracht, inclusief de ‘minder meerkosten’ voor vijf deelnemers als gevolg van de toetreding van </w:t>
      </w:r>
      <w:proofErr w:type="spellStart"/>
      <w:r>
        <w:rPr>
          <w:rFonts w:ascii="Arial" w:hAnsi="Arial" w:cs="Arial"/>
        </w:rPr>
        <w:t>Vijfheerenlanden</w:t>
      </w:r>
      <w:proofErr w:type="spellEnd"/>
      <w:r>
        <w:rPr>
          <w:rFonts w:ascii="Arial" w:hAnsi="Arial" w:cs="Arial"/>
        </w:rPr>
        <w:t>.</w:t>
      </w:r>
    </w:p>
    <w:p w14:paraId="1A680D1A" w14:textId="77777777" w:rsidR="00812D08" w:rsidRDefault="00812D08" w:rsidP="00812D08">
      <w:pPr>
        <w:rPr>
          <w:rFonts w:ascii="Arial" w:hAnsi="Arial" w:cs="Arial"/>
        </w:rPr>
      </w:pPr>
    </w:p>
    <w:p w14:paraId="24CB53F2" w14:textId="77777777" w:rsidR="00812D08" w:rsidRDefault="00812D08" w:rsidP="00812D08">
      <w:pPr>
        <w:rPr>
          <w:rFonts w:ascii="Arial Rounded MT Bold" w:hAnsi="Arial Rounded MT Bold" w:cs="Arial"/>
          <w:sz w:val="28"/>
          <w:szCs w:val="28"/>
        </w:rPr>
      </w:pPr>
      <w:r>
        <w:rPr>
          <w:rFonts w:ascii="Arial Rounded MT Bold" w:hAnsi="Arial Rounded MT Bold" w:cs="Arial"/>
          <w:noProof/>
          <w:sz w:val="28"/>
          <w:szCs w:val="28"/>
        </w:rPr>
        <w:drawing>
          <wp:inline distT="0" distB="0" distL="0" distR="0" wp14:anchorId="498FD6A2" wp14:editId="2E29F026">
            <wp:extent cx="1689100" cy="1016000"/>
            <wp:effectExtent l="0" t="0" r="635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9100" cy="1016000"/>
                    </a:xfrm>
                    <a:prstGeom prst="rect">
                      <a:avLst/>
                    </a:prstGeom>
                    <a:noFill/>
                    <a:ln>
                      <a:noFill/>
                    </a:ln>
                  </pic:spPr>
                </pic:pic>
              </a:graphicData>
            </a:graphic>
          </wp:inline>
        </w:drawing>
      </w:r>
      <w:r>
        <w:rPr>
          <w:rFonts w:ascii="Arial Rounded MT Bold" w:hAnsi="Arial Rounded MT Bold" w:cs="Arial"/>
          <w:sz w:val="28"/>
          <w:szCs w:val="28"/>
        </w:rPr>
        <w:t xml:space="preserve">  </w:t>
      </w:r>
      <w:r>
        <w:rPr>
          <w:rFonts w:ascii="Arial Rounded MT Bold" w:hAnsi="Arial Rounded MT Bold" w:cs="Arial"/>
          <w:noProof/>
          <w:sz w:val="28"/>
          <w:szCs w:val="28"/>
        </w:rPr>
        <w:drawing>
          <wp:inline distT="0" distB="0" distL="0" distR="0" wp14:anchorId="19EEBFD8" wp14:editId="7742735E">
            <wp:extent cx="1697355" cy="1020445"/>
            <wp:effectExtent l="0" t="0" r="0" b="825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7355" cy="1020445"/>
                    </a:xfrm>
                    <a:prstGeom prst="rect">
                      <a:avLst/>
                    </a:prstGeom>
                    <a:noFill/>
                    <a:ln>
                      <a:noFill/>
                    </a:ln>
                  </pic:spPr>
                </pic:pic>
              </a:graphicData>
            </a:graphic>
          </wp:inline>
        </w:drawing>
      </w:r>
      <w:r>
        <w:rPr>
          <w:rFonts w:ascii="Arial Rounded MT Bold" w:hAnsi="Arial Rounded MT Bold" w:cs="Arial"/>
          <w:sz w:val="28"/>
          <w:szCs w:val="28"/>
        </w:rPr>
        <w:t xml:space="preserve">  </w:t>
      </w:r>
      <w:r>
        <w:rPr>
          <w:rFonts w:ascii="Arial Rounded MT Bold" w:hAnsi="Arial Rounded MT Bold" w:cs="Arial"/>
          <w:noProof/>
          <w:sz w:val="28"/>
          <w:szCs w:val="28"/>
        </w:rPr>
        <w:drawing>
          <wp:inline distT="0" distB="0" distL="0" distR="0" wp14:anchorId="4B50DC4D" wp14:editId="78205940">
            <wp:extent cx="1689100" cy="1016000"/>
            <wp:effectExtent l="0" t="0" r="635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89100" cy="1016000"/>
                    </a:xfrm>
                    <a:prstGeom prst="rect">
                      <a:avLst/>
                    </a:prstGeom>
                    <a:noFill/>
                    <a:ln>
                      <a:noFill/>
                    </a:ln>
                  </pic:spPr>
                </pic:pic>
              </a:graphicData>
            </a:graphic>
          </wp:inline>
        </w:drawing>
      </w:r>
    </w:p>
    <w:p w14:paraId="276038EB" w14:textId="77777777" w:rsidR="00812D08" w:rsidRDefault="00812D08" w:rsidP="00812D08">
      <w:pPr>
        <w:rPr>
          <w:rFonts w:ascii="Arial Rounded MT Bold" w:hAnsi="Arial Rounded MT Bold" w:cs="Arial"/>
          <w:sz w:val="28"/>
          <w:szCs w:val="28"/>
        </w:rPr>
      </w:pPr>
    </w:p>
    <w:p w14:paraId="31744638" w14:textId="77777777" w:rsidR="00812D08" w:rsidRDefault="00812D08" w:rsidP="00812D08">
      <w:pPr>
        <w:rPr>
          <w:rFonts w:ascii="Arial Rounded MT Bold" w:hAnsi="Arial Rounded MT Bold" w:cs="Arial"/>
          <w:sz w:val="28"/>
          <w:szCs w:val="28"/>
        </w:rPr>
      </w:pPr>
      <w:r>
        <w:rPr>
          <w:rFonts w:ascii="Arial Rounded MT Bold" w:hAnsi="Arial Rounded MT Bold" w:cs="Arial"/>
          <w:noProof/>
          <w:sz w:val="28"/>
          <w:szCs w:val="28"/>
        </w:rPr>
        <w:drawing>
          <wp:inline distT="0" distB="0" distL="0" distR="0" wp14:anchorId="0C0CDFF1" wp14:editId="64F7E568">
            <wp:extent cx="1689100" cy="1020445"/>
            <wp:effectExtent l="0" t="0" r="6350" b="825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89100" cy="1020445"/>
                    </a:xfrm>
                    <a:prstGeom prst="rect">
                      <a:avLst/>
                    </a:prstGeom>
                    <a:noFill/>
                    <a:ln>
                      <a:noFill/>
                    </a:ln>
                  </pic:spPr>
                </pic:pic>
              </a:graphicData>
            </a:graphic>
          </wp:inline>
        </w:drawing>
      </w:r>
      <w:r>
        <w:rPr>
          <w:rFonts w:ascii="Arial Rounded MT Bold" w:hAnsi="Arial Rounded MT Bold" w:cs="Arial"/>
          <w:sz w:val="28"/>
          <w:szCs w:val="28"/>
        </w:rPr>
        <w:t xml:space="preserve">  </w:t>
      </w:r>
      <w:r>
        <w:rPr>
          <w:rFonts w:ascii="Arial Rounded MT Bold" w:hAnsi="Arial Rounded MT Bold" w:cs="Arial"/>
          <w:noProof/>
          <w:sz w:val="28"/>
          <w:szCs w:val="28"/>
        </w:rPr>
        <w:drawing>
          <wp:inline distT="0" distB="0" distL="0" distR="0" wp14:anchorId="1528C437" wp14:editId="57FC2801">
            <wp:extent cx="1689100" cy="1016000"/>
            <wp:effectExtent l="0" t="0" r="635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89100" cy="1016000"/>
                    </a:xfrm>
                    <a:prstGeom prst="rect">
                      <a:avLst/>
                    </a:prstGeom>
                    <a:noFill/>
                    <a:ln>
                      <a:noFill/>
                    </a:ln>
                  </pic:spPr>
                </pic:pic>
              </a:graphicData>
            </a:graphic>
          </wp:inline>
        </w:drawing>
      </w:r>
      <w:r>
        <w:rPr>
          <w:rFonts w:ascii="Arial Rounded MT Bold" w:hAnsi="Arial Rounded MT Bold" w:cs="Arial"/>
          <w:sz w:val="28"/>
          <w:szCs w:val="28"/>
        </w:rPr>
        <w:t xml:space="preserve">  </w:t>
      </w:r>
      <w:r>
        <w:rPr>
          <w:rFonts w:ascii="Arial Rounded MT Bold" w:hAnsi="Arial Rounded MT Bold" w:cs="Arial"/>
          <w:noProof/>
          <w:sz w:val="28"/>
          <w:szCs w:val="28"/>
        </w:rPr>
        <w:drawing>
          <wp:inline distT="0" distB="0" distL="0" distR="0" wp14:anchorId="7F9786C6" wp14:editId="731A6704">
            <wp:extent cx="1697355" cy="1016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97355" cy="1016000"/>
                    </a:xfrm>
                    <a:prstGeom prst="rect">
                      <a:avLst/>
                    </a:prstGeom>
                    <a:noFill/>
                    <a:ln>
                      <a:noFill/>
                    </a:ln>
                  </pic:spPr>
                </pic:pic>
              </a:graphicData>
            </a:graphic>
          </wp:inline>
        </w:drawing>
      </w:r>
    </w:p>
    <w:p w14:paraId="54B6AAAF" w14:textId="77777777" w:rsidR="00812D08" w:rsidRDefault="00812D08" w:rsidP="00812D08">
      <w:pPr>
        <w:rPr>
          <w:rFonts w:ascii="Arial Rounded MT Bold" w:hAnsi="Arial Rounded MT Bold" w:cs="Arial"/>
          <w:sz w:val="28"/>
          <w:szCs w:val="28"/>
        </w:rPr>
      </w:pPr>
    </w:p>
    <w:p w14:paraId="7EBEDB54" w14:textId="77777777" w:rsidR="00812D08" w:rsidRDefault="00812D08" w:rsidP="00812D08">
      <w:pPr>
        <w:rPr>
          <w:rFonts w:ascii="Arial Rounded MT Bold" w:hAnsi="Arial Rounded MT Bold" w:cs="Arial"/>
          <w:sz w:val="28"/>
          <w:szCs w:val="28"/>
        </w:rPr>
      </w:pPr>
      <w:r>
        <w:rPr>
          <w:rFonts w:ascii="Arial Rounded MT Bold" w:hAnsi="Arial Rounded MT Bold" w:cs="Arial"/>
          <w:noProof/>
          <w:sz w:val="28"/>
          <w:szCs w:val="28"/>
        </w:rPr>
        <w:drawing>
          <wp:inline distT="0" distB="0" distL="0" distR="0" wp14:anchorId="56EF05DA" wp14:editId="2AC070B6">
            <wp:extent cx="1697355" cy="1016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97355" cy="1016000"/>
                    </a:xfrm>
                    <a:prstGeom prst="rect">
                      <a:avLst/>
                    </a:prstGeom>
                    <a:noFill/>
                    <a:ln>
                      <a:noFill/>
                    </a:ln>
                  </pic:spPr>
                </pic:pic>
              </a:graphicData>
            </a:graphic>
          </wp:inline>
        </w:drawing>
      </w:r>
    </w:p>
    <w:p w14:paraId="110A0C8A" w14:textId="152C5D9F" w:rsidR="00384BF2" w:rsidRDefault="00384BF2" w:rsidP="00812D08"/>
    <w:sectPr w:rsidR="00384BF2" w:rsidSect="008B47F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254C8B"/>
    <w:multiLevelType w:val="hybridMultilevel"/>
    <w:tmpl w:val="C688ED6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1"/>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D08"/>
    <w:rsid w:val="00384BF2"/>
    <w:rsid w:val="005A6347"/>
    <w:rsid w:val="00812D08"/>
    <w:rsid w:val="008B47FD"/>
    <w:rsid w:val="00915BDD"/>
    <w:rsid w:val="009907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2CE6F"/>
  <w15:chartTrackingRefBased/>
  <w15:docId w15:val="{D926A574-90A4-4C9A-B624-DAADE1466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12D08"/>
    <w:pPr>
      <w:spacing w:after="0" w:line="240" w:lineRule="auto"/>
    </w:pPr>
    <w:rPr>
      <w:rFonts w:ascii="Times New Roman" w:eastAsia="Times New Roman" w:hAnsi="Times New Roman" w:cs="Times New Roman"/>
      <w:sz w:val="24"/>
      <w:szCs w:val="24"/>
      <w:lang w:eastAsia="nl-NL"/>
    </w:rPr>
  </w:style>
  <w:style w:type="paragraph" w:styleId="Kop2">
    <w:name w:val="heading 2"/>
    <w:basedOn w:val="Standaard"/>
    <w:next w:val="Standaard"/>
    <w:link w:val="Kop2Char"/>
    <w:qFormat/>
    <w:rsid w:val="00990742"/>
    <w:pPr>
      <w:keepNext/>
      <w:outlineLvl w:val="1"/>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12D08"/>
    <w:pPr>
      <w:spacing w:after="160" w:line="256" w:lineRule="auto"/>
      <w:ind w:left="720"/>
      <w:contextualSpacing/>
    </w:pPr>
    <w:rPr>
      <w:rFonts w:ascii="Calibri" w:eastAsia="Calibri" w:hAnsi="Calibri"/>
      <w:sz w:val="22"/>
      <w:szCs w:val="22"/>
      <w:lang w:eastAsia="en-US"/>
    </w:rPr>
  </w:style>
  <w:style w:type="paragraph" w:styleId="Ballontekst">
    <w:name w:val="Balloon Text"/>
    <w:basedOn w:val="Standaard"/>
    <w:link w:val="BallontekstChar"/>
    <w:uiPriority w:val="99"/>
    <w:semiHidden/>
    <w:unhideWhenUsed/>
    <w:rsid w:val="00812D0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12D08"/>
    <w:rPr>
      <w:rFonts w:ascii="Segoe UI" w:eastAsia="Times New Roman" w:hAnsi="Segoe UI" w:cs="Segoe UI"/>
      <w:sz w:val="18"/>
      <w:szCs w:val="18"/>
      <w:lang w:eastAsia="nl-NL"/>
    </w:rPr>
  </w:style>
  <w:style w:type="character" w:customStyle="1" w:styleId="Kop2Char">
    <w:name w:val="Kop 2 Char"/>
    <w:basedOn w:val="Standaardalinea-lettertype"/>
    <w:link w:val="Kop2"/>
    <w:rsid w:val="00990742"/>
    <w:rPr>
      <w:rFonts w:ascii="Times New Roman" w:eastAsia="Times New Roman" w:hAnsi="Times New Roman" w:cs="Times New Roman"/>
      <w:b/>
      <w:bCs/>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1B70A1-EFCD-41C9-8A00-EE33B4333DBE}">
  <ds:schemaRefs>
    <ds:schemaRef ds:uri="http://schemas.openxmlformats.org/package/2006/metadata/core-properties"/>
    <ds:schemaRef ds:uri="http://purl.org/dc/elements/1.1/"/>
    <ds:schemaRef ds:uri="1cd6ebb7-799c-4025-aa72-03d65df50579"/>
    <ds:schemaRef ds:uri="fee22167-c236-416d-8e7f-1f75d327fedd"/>
    <ds:schemaRef ds:uri="http://purl.org/dc/terms/"/>
    <ds:schemaRef ds:uri="http://schemas.microsoft.com/office/infopath/2007/PartnerControls"/>
    <ds:schemaRef ds:uri="http://schemas.microsoft.com/office/2006/documentManagement/types"/>
    <ds:schemaRef ds:uri="ba69c5b4-b4a9-4049-8ecd-3868ecd3a286"/>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1D789D4-33BD-4327-8470-26FDE3CBB7FC}"/>
</file>

<file path=customXml/itemProps3.xml><?xml version="1.0" encoding="utf-8"?>
<ds:datastoreItem xmlns:ds="http://schemas.openxmlformats.org/officeDocument/2006/customXml" ds:itemID="{9FB0374F-BEAF-410F-963E-FBE3DCB82674}"/>
</file>

<file path=customXml/itemProps4.xml><?xml version="1.0" encoding="utf-8"?>
<ds:datastoreItem xmlns:ds="http://schemas.openxmlformats.org/officeDocument/2006/customXml" ds:itemID="{018ABFAB-7078-4F50-A54A-B09B5C3E51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337</Words>
  <Characters>1857</Characters>
  <Application>Microsoft Office Word</Application>
  <DocSecurity>0</DocSecurity>
  <Lines>15</Lines>
  <Paragraphs>4</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    1.2 Ontwikkeling van de gemeentelijke bijdragen 2016-2023</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van der Eerden</dc:creator>
  <cp:keywords/>
  <dc:description/>
  <cp:lastModifiedBy>Ria van der Eerden</cp:lastModifiedBy>
  <cp:revision>5</cp:revision>
  <cp:lastPrinted>2019-04-24T12:57:00Z</cp:lastPrinted>
  <dcterms:created xsi:type="dcterms:W3CDTF">2019-04-24T12:57:00Z</dcterms:created>
  <dcterms:modified xsi:type="dcterms:W3CDTF">2019-04-24T13:00:00Z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548c739f-aade-4179-87cb-824f4de9009c</vt:lpwstr>
  </property>
  <property fmtid="{D5CDD505-2E9C-101B-9397-08002B2CF9AE}" pid="4" name="Order">
    <vt:r8>7132600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