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169B8" w14:textId="39E7B1E9" w:rsidR="00DC5003" w:rsidRPr="00AD1CC7" w:rsidRDefault="007B7A00" w:rsidP="00E36D11">
      <w:pPr>
        <w:pStyle w:val="Kop2"/>
        <w:tabs>
          <w:tab w:val="left" w:pos="7655"/>
        </w:tabs>
        <w:rPr>
          <w:b/>
          <w:sz w:val="28"/>
          <w:szCs w:val="28"/>
        </w:rPr>
      </w:pPr>
      <w:bookmarkStart w:id="0" w:name="_GoBack"/>
      <w:bookmarkEnd w:id="0"/>
      <w:r>
        <w:t xml:space="preserve"> </w:t>
      </w:r>
      <w:r w:rsidR="00885E5F">
        <w:tab/>
      </w:r>
      <w:r w:rsidR="00DC5003" w:rsidRPr="00AD1CC7">
        <w:rPr>
          <w:b/>
        </w:rPr>
        <w:t>Bijlage 3A</w:t>
      </w:r>
    </w:p>
    <w:p w14:paraId="35AE5ADC" w14:textId="0EEE46DE" w:rsidR="00D53303" w:rsidRPr="00B83B95" w:rsidRDefault="00F6301F" w:rsidP="003F4515">
      <w:pPr>
        <w:pStyle w:val="Kop2"/>
        <w:rPr>
          <w:sz w:val="28"/>
          <w:szCs w:val="28"/>
        </w:rPr>
      </w:pPr>
      <w:r w:rsidRPr="00B83B95">
        <w:rPr>
          <w:sz w:val="28"/>
          <w:szCs w:val="28"/>
        </w:rPr>
        <w:t>Bijlage bij a</w:t>
      </w:r>
      <w:r w:rsidR="00343424" w:rsidRPr="00B83B95">
        <w:rPr>
          <w:sz w:val="28"/>
          <w:szCs w:val="28"/>
        </w:rPr>
        <w:t>ctielijn 1</w:t>
      </w:r>
      <w:r w:rsidRPr="00B83B95">
        <w:rPr>
          <w:sz w:val="28"/>
          <w:szCs w:val="28"/>
        </w:rPr>
        <w:t>7</w:t>
      </w:r>
      <w:r w:rsidR="00343424" w:rsidRPr="00B83B95">
        <w:rPr>
          <w:sz w:val="28"/>
          <w:szCs w:val="28"/>
        </w:rPr>
        <w:t xml:space="preserve">: </w:t>
      </w:r>
      <w:r w:rsidRPr="00B83B95">
        <w:rPr>
          <w:sz w:val="28"/>
          <w:szCs w:val="28"/>
        </w:rPr>
        <w:t>Financiën</w:t>
      </w:r>
      <w:r w:rsidR="003F4515" w:rsidRPr="00B83B95">
        <w:rPr>
          <w:sz w:val="28"/>
          <w:szCs w:val="28"/>
        </w:rPr>
        <w:t>.</w:t>
      </w:r>
    </w:p>
    <w:p w14:paraId="0EB9F7DC" w14:textId="77777777" w:rsidR="00AD328C" w:rsidRPr="00B83B95" w:rsidRDefault="00AD328C" w:rsidP="00AD328C">
      <w:pPr>
        <w:rPr>
          <w:sz w:val="28"/>
          <w:szCs w:val="28"/>
        </w:rPr>
      </w:pPr>
    </w:p>
    <w:p w14:paraId="19C512A4" w14:textId="51F91E6B" w:rsidR="00773300" w:rsidRPr="00B83B95" w:rsidRDefault="00343424" w:rsidP="00773300">
      <w:pPr>
        <w:pStyle w:val="Kop2"/>
        <w:numPr>
          <w:ilvl w:val="0"/>
          <w:numId w:val="1"/>
        </w:numPr>
        <w:ind w:left="360"/>
        <w:rPr>
          <w:sz w:val="28"/>
          <w:szCs w:val="28"/>
        </w:rPr>
      </w:pPr>
      <w:r w:rsidRPr="00B83B95">
        <w:rPr>
          <w:sz w:val="28"/>
          <w:szCs w:val="28"/>
        </w:rPr>
        <w:t xml:space="preserve">Overzicht van de mogelijke </w:t>
      </w:r>
      <w:r w:rsidRPr="00B83B95">
        <w:rPr>
          <w:sz w:val="28"/>
          <w:szCs w:val="28"/>
          <w:u w:val="single"/>
        </w:rPr>
        <w:t>extra</w:t>
      </w:r>
      <w:r w:rsidRPr="00B83B95">
        <w:rPr>
          <w:sz w:val="28"/>
          <w:szCs w:val="28"/>
        </w:rPr>
        <w:t xml:space="preserve"> inkomsten en uitgaven </w:t>
      </w:r>
      <w:r w:rsidR="00AF2B9C" w:rsidRPr="00B83B95">
        <w:rPr>
          <w:sz w:val="28"/>
          <w:szCs w:val="28"/>
        </w:rPr>
        <w:t>als gevolg van het nieuwe beleid</w:t>
      </w:r>
      <w:r w:rsidR="00F251EA" w:rsidRPr="00B83B95">
        <w:rPr>
          <w:sz w:val="28"/>
          <w:szCs w:val="28"/>
        </w:rPr>
        <w:t xml:space="preserve"> in de jaren 2019-2022</w:t>
      </w:r>
    </w:p>
    <w:p w14:paraId="5D10BF7E" w14:textId="77777777" w:rsidR="006A4ACA" w:rsidRPr="006A4ACA" w:rsidRDefault="006A4ACA" w:rsidP="006A4ACA"/>
    <w:tbl>
      <w:tblPr>
        <w:tblStyle w:val="Tabelraster"/>
        <w:tblW w:w="9288" w:type="dxa"/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1443"/>
        <w:gridCol w:w="1250"/>
        <w:gridCol w:w="2659"/>
      </w:tblGrid>
      <w:tr w:rsidR="0076768F" w:rsidRPr="008774FC" w14:paraId="686FD698" w14:textId="77777777" w:rsidTr="00E569E6">
        <w:trPr>
          <w:tblHeader/>
        </w:trPr>
        <w:tc>
          <w:tcPr>
            <w:tcW w:w="2518" w:type="dxa"/>
            <w:shd w:val="clear" w:color="auto" w:fill="F2F2F2" w:themeFill="background1" w:themeFillShade="F2"/>
          </w:tcPr>
          <w:p w14:paraId="3FDDF74D" w14:textId="77777777" w:rsidR="00343424" w:rsidRPr="008774FC" w:rsidRDefault="00343424">
            <w:pPr>
              <w:rPr>
                <w:rFonts w:cstheme="minorHAnsi"/>
                <w:sz w:val="24"/>
                <w:szCs w:val="24"/>
              </w:rPr>
            </w:pPr>
          </w:p>
          <w:p w14:paraId="667842A0" w14:textId="77777777" w:rsidR="00800E0C" w:rsidRPr="008774FC" w:rsidRDefault="00800E0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14:paraId="2EA0D2B0" w14:textId="77777777" w:rsidR="00343424" w:rsidRPr="008774FC" w:rsidRDefault="00343424" w:rsidP="00800E0C">
            <w:pPr>
              <w:pStyle w:val="Kop2"/>
              <w:jc w:val="center"/>
              <w:outlineLvl w:val="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774FC">
              <w:rPr>
                <w:rFonts w:asciiTheme="minorHAnsi" w:hAnsiTheme="minorHAnsi" w:cstheme="minorHAnsi"/>
                <w:b/>
                <w:sz w:val="24"/>
                <w:szCs w:val="24"/>
              </w:rPr>
              <w:t>Incidenteel</w:t>
            </w:r>
          </w:p>
        </w:tc>
        <w:tc>
          <w:tcPr>
            <w:tcW w:w="1443" w:type="dxa"/>
            <w:shd w:val="clear" w:color="auto" w:fill="F2F2F2" w:themeFill="background1" w:themeFillShade="F2"/>
          </w:tcPr>
          <w:p w14:paraId="6ABF6641" w14:textId="77777777" w:rsidR="00343424" w:rsidRPr="008774FC" w:rsidRDefault="00343424" w:rsidP="00800E0C">
            <w:pPr>
              <w:pStyle w:val="Kop2"/>
              <w:jc w:val="center"/>
              <w:outlineLvl w:val="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774FC">
              <w:rPr>
                <w:rFonts w:asciiTheme="minorHAnsi" w:hAnsiTheme="minorHAnsi" w:cstheme="minorHAnsi"/>
                <w:b/>
                <w:sz w:val="24"/>
                <w:szCs w:val="24"/>
              </w:rPr>
              <w:t>Structureel</w:t>
            </w:r>
          </w:p>
        </w:tc>
        <w:tc>
          <w:tcPr>
            <w:tcW w:w="1250" w:type="dxa"/>
            <w:shd w:val="clear" w:color="auto" w:fill="F2F2F2" w:themeFill="background1" w:themeFillShade="F2"/>
          </w:tcPr>
          <w:p w14:paraId="4BC2ADEB" w14:textId="29494C3D" w:rsidR="00343424" w:rsidRPr="008774FC" w:rsidRDefault="00343424" w:rsidP="00800E0C">
            <w:pPr>
              <w:pStyle w:val="Kop2"/>
              <w:jc w:val="center"/>
              <w:outlineLvl w:val="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774FC">
              <w:rPr>
                <w:rFonts w:asciiTheme="minorHAnsi" w:hAnsiTheme="minorHAnsi" w:cstheme="minorHAnsi"/>
                <w:b/>
                <w:sz w:val="24"/>
                <w:szCs w:val="24"/>
              </w:rPr>
              <w:t>Jaren</w:t>
            </w:r>
          </w:p>
        </w:tc>
        <w:tc>
          <w:tcPr>
            <w:tcW w:w="2659" w:type="dxa"/>
            <w:shd w:val="clear" w:color="auto" w:fill="F2F2F2" w:themeFill="background1" w:themeFillShade="F2"/>
          </w:tcPr>
          <w:p w14:paraId="0696F634" w14:textId="77777777" w:rsidR="00343424" w:rsidRPr="008774FC" w:rsidRDefault="00343424" w:rsidP="00DE7C03">
            <w:pPr>
              <w:pStyle w:val="Kop2"/>
              <w:outlineLvl w:val="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774FC">
              <w:rPr>
                <w:rFonts w:asciiTheme="minorHAnsi" w:hAnsiTheme="minorHAnsi" w:cstheme="minorHAnsi"/>
                <w:b/>
                <w:sz w:val="24"/>
                <w:szCs w:val="24"/>
              </w:rPr>
              <w:t>Bijzonderheden</w:t>
            </w:r>
          </w:p>
        </w:tc>
      </w:tr>
      <w:tr w:rsidR="0076768F" w:rsidRPr="006A4ACA" w14:paraId="238C08C7" w14:textId="77777777" w:rsidTr="00E569E6">
        <w:tc>
          <w:tcPr>
            <w:tcW w:w="2518" w:type="dxa"/>
          </w:tcPr>
          <w:p w14:paraId="1BE51EDE" w14:textId="77777777" w:rsidR="00800E0C" w:rsidRPr="006A4ACA" w:rsidRDefault="00800E0C" w:rsidP="007D4389">
            <w:pPr>
              <w:pStyle w:val="Kop2"/>
              <w:outlineLvl w:val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887DC8" w14:textId="77777777" w:rsidR="00343424" w:rsidRPr="006A4ACA" w:rsidRDefault="00343424" w:rsidP="007D4389">
            <w:pPr>
              <w:pStyle w:val="Kop2"/>
              <w:outlineLvl w:val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4ACA">
              <w:rPr>
                <w:rFonts w:asciiTheme="minorHAnsi" w:hAnsiTheme="minorHAnsi" w:cstheme="minorHAnsi"/>
                <w:b/>
                <w:sz w:val="22"/>
                <w:szCs w:val="22"/>
              </w:rPr>
              <w:t>Personeelskosten:</w:t>
            </w:r>
          </w:p>
        </w:tc>
        <w:tc>
          <w:tcPr>
            <w:tcW w:w="1418" w:type="dxa"/>
          </w:tcPr>
          <w:p w14:paraId="004E1F1A" w14:textId="2D8875F7" w:rsidR="00343424" w:rsidRPr="006A4ACA" w:rsidRDefault="00343424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1443" w:type="dxa"/>
          </w:tcPr>
          <w:p w14:paraId="500BD9D3" w14:textId="77777777" w:rsidR="00343424" w:rsidRPr="006A4ACA" w:rsidRDefault="00343424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1250" w:type="dxa"/>
          </w:tcPr>
          <w:p w14:paraId="71B04207" w14:textId="77777777" w:rsidR="00343424" w:rsidRPr="006A4ACA" w:rsidRDefault="00343424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2659" w:type="dxa"/>
          </w:tcPr>
          <w:p w14:paraId="11E1EE9F" w14:textId="77777777" w:rsidR="00343424" w:rsidRPr="006A4ACA" w:rsidRDefault="00343424">
            <w:pPr>
              <w:rPr>
                <w:rFonts w:cstheme="minorHAnsi"/>
              </w:rPr>
            </w:pPr>
          </w:p>
        </w:tc>
      </w:tr>
      <w:tr w:rsidR="0076768F" w:rsidRPr="006A4ACA" w14:paraId="196FCAF0" w14:textId="77777777" w:rsidTr="00E569E6">
        <w:tc>
          <w:tcPr>
            <w:tcW w:w="2518" w:type="dxa"/>
          </w:tcPr>
          <w:p w14:paraId="4E398AEA" w14:textId="7FBC3C14" w:rsidR="00343424" w:rsidRPr="006A4ACA" w:rsidRDefault="00343424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>Salariskosten</w:t>
            </w:r>
            <w:r w:rsidR="007E7F5E" w:rsidRPr="006A4ACA">
              <w:rPr>
                <w:rFonts w:cstheme="minorHAnsi"/>
              </w:rPr>
              <w:t xml:space="preserve"> voor twee nieuwe functionarissen</w:t>
            </w:r>
          </w:p>
        </w:tc>
        <w:tc>
          <w:tcPr>
            <w:tcW w:w="1418" w:type="dxa"/>
          </w:tcPr>
          <w:p w14:paraId="10931DEF" w14:textId="77777777" w:rsidR="00343424" w:rsidRPr="006A4ACA" w:rsidRDefault="00343424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1443" w:type="dxa"/>
          </w:tcPr>
          <w:p w14:paraId="0A04E0BC" w14:textId="77777777" w:rsidR="003A69FC" w:rsidRPr="006A4ACA" w:rsidRDefault="00987023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€ </w:t>
            </w:r>
            <w:r w:rsidR="009A2676" w:rsidRPr="006A4ACA">
              <w:rPr>
                <w:rFonts w:cstheme="minorHAnsi"/>
              </w:rPr>
              <w:t xml:space="preserve">87.000 + </w:t>
            </w:r>
          </w:p>
          <w:p w14:paraId="5EE8992E" w14:textId="77777777" w:rsidR="008D28AA" w:rsidRPr="006A4ACA" w:rsidRDefault="009A2676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€ 77.000 =</w:t>
            </w:r>
          </w:p>
          <w:p w14:paraId="76F01504" w14:textId="1961FB0B" w:rsidR="00343424" w:rsidRPr="006A4ACA" w:rsidRDefault="003A69FC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€ </w:t>
            </w:r>
            <w:r w:rsidR="00103944" w:rsidRPr="006A4ACA">
              <w:rPr>
                <w:rFonts w:cstheme="minorHAnsi"/>
              </w:rPr>
              <w:t>164.000</w:t>
            </w:r>
          </w:p>
        </w:tc>
        <w:tc>
          <w:tcPr>
            <w:tcW w:w="1250" w:type="dxa"/>
          </w:tcPr>
          <w:p w14:paraId="73632752" w14:textId="7F9807A6" w:rsidR="00343424" w:rsidRPr="006A4ACA" w:rsidRDefault="00987023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Vanaf 20</w:t>
            </w:r>
            <w:r w:rsidR="00B32727" w:rsidRPr="006A4ACA">
              <w:rPr>
                <w:rFonts w:cstheme="minorHAnsi"/>
              </w:rPr>
              <w:t>20</w:t>
            </w:r>
          </w:p>
        </w:tc>
        <w:tc>
          <w:tcPr>
            <w:tcW w:w="2659" w:type="dxa"/>
          </w:tcPr>
          <w:p w14:paraId="0384ECC7" w14:textId="77777777" w:rsidR="00286786" w:rsidRPr="006A4ACA" w:rsidRDefault="007B5F3B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In 2019 </w:t>
            </w:r>
            <w:r w:rsidR="00B32727" w:rsidRPr="006A4ACA">
              <w:rPr>
                <w:rFonts w:cstheme="minorHAnsi"/>
              </w:rPr>
              <w:t>worden de extra kosten voor de adviseur digitale informatie</w:t>
            </w:r>
            <w:r w:rsidR="007049C5" w:rsidRPr="006A4ACA">
              <w:rPr>
                <w:rFonts w:cstheme="minorHAnsi"/>
              </w:rPr>
              <w:t xml:space="preserve">/ </w:t>
            </w:r>
            <w:r w:rsidR="00B32727" w:rsidRPr="006A4ACA">
              <w:rPr>
                <w:rFonts w:cstheme="minorHAnsi"/>
              </w:rPr>
              <w:t xml:space="preserve">informatiemanager </w:t>
            </w:r>
            <w:r w:rsidR="00853036" w:rsidRPr="006A4ACA">
              <w:rPr>
                <w:rFonts w:cstheme="minorHAnsi"/>
              </w:rPr>
              <w:t xml:space="preserve">ad </w:t>
            </w:r>
          </w:p>
          <w:p w14:paraId="3DE87225" w14:textId="3A8E6351" w:rsidR="00343424" w:rsidRPr="006A4ACA" w:rsidRDefault="00853036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€ 87.000 </w:t>
            </w:r>
            <w:r w:rsidR="007B5F3B" w:rsidRPr="006A4ACA">
              <w:rPr>
                <w:rFonts w:cstheme="minorHAnsi"/>
              </w:rPr>
              <w:t>gedekt uit de bestemmingsreserve e-depot</w:t>
            </w:r>
            <w:r w:rsidR="004A7BB7" w:rsidRPr="006A4ACA">
              <w:rPr>
                <w:rFonts w:cstheme="minorHAnsi"/>
              </w:rPr>
              <w:t>.</w:t>
            </w:r>
          </w:p>
        </w:tc>
      </w:tr>
      <w:tr w:rsidR="0076768F" w:rsidRPr="006A4ACA" w14:paraId="1F6FF76A" w14:textId="77777777" w:rsidTr="00E569E6">
        <w:tc>
          <w:tcPr>
            <w:tcW w:w="2518" w:type="dxa"/>
          </w:tcPr>
          <w:p w14:paraId="70C91654" w14:textId="77777777" w:rsidR="00343424" w:rsidRPr="006A4ACA" w:rsidRDefault="00343424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>Opleidingskosten</w:t>
            </w:r>
          </w:p>
        </w:tc>
        <w:tc>
          <w:tcPr>
            <w:tcW w:w="1418" w:type="dxa"/>
          </w:tcPr>
          <w:p w14:paraId="6D6A76BF" w14:textId="184182C2" w:rsidR="00343424" w:rsidRPr="006A4ACA" w:rsidRDefault="003955FF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€ </w:t>
            </w:r>
            <w:r w:rsidR="00430203" w:rsidRPr="006A4ACA">
              <w:rPr>
                <w:rFonts w:cstheme="minorHAnsi"/>
              </w:rPr>
              <w:t>18.000</w:t>
            </w:r>
          </w:p>
        </w:tc>
        <w:tc>
          <w:tcPr>
            <w:tcW w:w="1443" w:type="dxa"/>
          </w:tcPr>
          <w:p w14:paraId="285A5C53" w14:textId="76368A2F" w:rsidR="00343424" w:rsidRPr="006A4ACA" w:rsidRDefault="00CF41F7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€ </w:t>
            </w:r>
            <w:r w:rsidR="00966850" w:rsidRPr="006A4ACA">
              <w:rPr>
                <w:rFonts w:cstheme="minorHAnsi"/>
              </w:rPr>
              <w:t>7.500</w:t>
            </w:r>
          </w:p>
        </w:tc>
        <w:tc>
          <w:tcPr>
            <w:tcW w:w="1250" w:type="dxa"/>
          </w:tcPr>
          <w:p w14:paraId="2D949506" w14:textId="0C553BDF" w:rsidR="00343424" w:rsidRPr="006A4ACA" w:rsidRDefault="004215E0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2019-2022</w:t>
            </w:r>
          </w:p>
        </w:tc>
        <w:tc>
          <w:tcPr>
            <w:tcW w:w="2659" w:type="dxa"/>
          </w:tcPr>
          <w:p w14:paraId="3825DBD9" w14:textId="5D1A3892" w:rsidR="00BE4537" w:rsidRPr="006A4ACA" w:rsidRDefault="004215E0" w:rsidP="006A4ACA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>De incidente</w:t>
            </w:r>
            <w:r w:rsidR="00BE4537" w:rsidRPr="006A4ACA">
              <w:rPr>
                <w:rFonts w:cstheme="minorHAnsi"/>
              </w:rPr>
              <w:t>le</w:t>
            </w:r>
            <w:r w:rsidRPr="006A4ACA">
              <w:rPr>
                <w:rFonts w:cstheme="minorHAnsi"/>
              </w:rPr>
              <w:t xml:space="preserve"> kosten </w:t>
            </w:r>
            <w:r w:rsidR="00430203" w:rsidRPr="006A4ACA">
              <w:rPr>
                <w:rFonts w:cstheme="minorHAnsi"/>
              </w:rPr>
              <w:t xml:space="preserve">van € 18.000 </w:t>
            </w:r>
            <w:r w:rsidRPr="006A4ACA">
              <w:rPr>
                <w:rFonts w:cstheme="minorHAnsi"/>
              </w:rPr>
              <w:t xml:space="preserve">zijn voor de </w:t>
            </w:r>
            <w:r w:rsidR="00430203" w:rsidRPr="006A4ACA">
              <w:rPr>
                <w:rFonts w:cstheme="minorHAnsi"/>
                <w:i/>
              </w:rPr>
              <w:t xml:space="preserve">Master </w:t>
            </w:r>
            <w:proofErr w:type="spellStart"/>
            <w:r w:rsidR="00430203" w:rsidRPr="006A4ACA">
              <w:rPr>
                <w:rFonts w:cstheme="minorHAnsi"/>
                <w:i/>
              </w:rPr>
              <w:t>Archival</w:t>
            </w:r>
            <w:proofErr w:type="spellEnd"/>
            <w:r w:rsidR="00430203" w:rsidRPr="006A4ACA">
              <w:rPr>
                <w:rFonts w:cstheme="minorHAnsi"/>
                <w:i/>
              </w:rPr>
              <w:t xml:space="preserve"> </w:t>
            </w:r>
            <w:proofErr w:type="spellStart"/>
            <w:r w:rsidR="00430203" w:rsidRPr="006A4ACA">
              <w:rPr>
                <w:rFonts w:cstheme="minorHAnsi"/>
                <w:i/>
              </w:rPr>
              <w:t>and</w:t>
            </w:r>
            <w:proofErr w:type="spellEnd"/>
            <w:r w:rsidR="00430203" w:rsidRPr="006A4ACA">
              <w:rPr>
                <w:rFonts w:cstheme="minorHAnsi"/>
                <w:i/>
              </w:rPr>
              <w:t xml:space="preserve"> Information Studies</w:t>
            </w:r>
            <w:r w:rsidR="00430203" w:rsidRPr="006A4ACA">
              <w:rPr>
                <w:rFonts w:cstheme="minorHAnsi"/>
              </w:rPr>
              <w:t xml:space="preserve"> voor de eerste nieuwe functionaris vanaf</w:t>
            </w:r>
            <w:r w:rsidR="003955FF" w:rsidRPr="006A4ACA">
              <w:rPr>
                <w:rFonts w:cstheme="minorHAnsi"/>
              </w:rPr>
              <w:t xml:space="preserve"> </w:t>
            </w:r>
            <w:r w:rsidR="00430203" w:rsidRPr="006A4ACA">
              <w:rPr>
                <w:rFonts w:cstheme="minorHAnsi"/>
              </w:rPr>
              <w:t>najaar</w:t>
            </w:r>
            <w:r w:rsidR="003955FF" w:rsidRPr="006A4ACA">
              <w:rPr>
                <w:rFonts w:cstheme="minorHAnsi"/>
              </w:rPr>
              <w:t xml:space="preserve"> 2019 tot</w:t>
            </w:r>
            <w:r w:rsidR="00430203" w:rsidRPr="006A4ACA">
              <w:rPr>
                <w:rFonts w:cstheme="minorHAnsi"/>
              </w:rPr>
              <w:t xml:space="preserve"> voorjaar</w:t>
            </w:r>
            <w:r w:rsidR="003955FF" w:rsidRPr="006A4ACA">
              <w:rPr>
                <w:rFonts w:cstheme="minorHAnsi"/>
              </w:rPr>
              <w:t xml:space="preserve"> 2021</w:t>
            </w:r>
            <w:r w:rsidR="00430203" w:rsidRPr="006A4ACA">
              <w:rPr>
                <w:rFonts w:cstheme="minorHAnsi"/>
              </w:rPr>
              <w:t>.</w:t>
            </w:r>
          </w:p>
        </w:tc>
      </w:tr>
      <w:tr w:rsidR="0076768F" w:rsidRPr="006A4ACA" w14:paraId="39C2921F" w14:textId="77777777" w:rsidTr="00E569E6">
        <w:tc>
          <w:tcPr>
            <w:tcW w:w="2518" w:type="dxa"/>
          </w:tcPr>
          <w:p w14:paraId="25736059" w14:textId="3EBE0C28" w:rsidR="00343424" w:rsidRPr="006A4ACA" w:rsidRDefault="00343424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>Functie</w:t>
            </w:r>
            <w:r w:rsidR="003F4F24" w:rsidRPr="006A4ACA">
              <w:rPr>
                <w:rFonts w:cstheme="minorHAnsi"/>
              </w:rPr>
              <w:t>(her)</w:t>
            </w:r>
            <w:r w:rsidRPr="006A4ACA">
              <w:rPr>
                <w:rFonts w:cstheme="minorHAnsi"/>
              </w:rPr>
              <w:t>waardering</w:t>
            </w:r>
            <w:r w:rsidR="00C93596" w:rsidRPr="006A4ACA">
              <w:rPr>
                <w:rFonts w:cstheme="minorHAnsi"/>
              </w:rPr>
              <w:t>s</w:t>
            </w:r>
            <w:r w:rsidR="00800E0C" w:rsidRPr="006A4ACA">
              <w:rPr>
                <w:rFonts w:cstheme="minorHAnsi"/>
              </w:rPr>
              <w:t>-</w:t>
            </w:r>
            <w:r w:rsidR="00C93596" w:rsidRPr="006A4ACA">
              <w:rPr>
                <w:rFonts w:cstheme="minorHAnsi"/>
              </w:rPr>
              <w:t>kosten</w:t>
            </w:r>
          </w:p>
        </w:tc>
        <w:tc>
          <w:tcPr>
            <w:tcW w:w="1418" w:type="dxa"/>
          </w:tcPr>
          <w:p w14:paraId="5643EAB5" w14:textId="77777777" w:rsidR="00343424" w:rsidRPr="006A4ACA" w:rsidRDefault="00343424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€ 6.240</w:t>
            </w:r>
          </w:p>
        </w:tc>
        <w:tc>
          <w:tcPr>
            <w:tcW w:w="1443" w:type="dxa"/>
          </w:tcPr>
          <w:p w14:paraId="068FFA53" w14:textId="3B4DE210" w:rsidR="00343424" w:rsidRPr="006A4ACA" w:rsidRDefault="00B34CD9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PM</w:t>
            </w:r>
          </w:p>
        </w:tc>
        <w:tc>
          <w:tcPr>
            <w:tcW w:w="1250" w:type="dxa"/>
          </w:tcPr>
          <w:p w14:paraId="5C82EA16" w14:textId="77777777" w:rsidR="00343424" w:rsidRPr="006A4ACA" w:rsidRDefault="00343424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2019</w:t>
            </w:r>
          </w:p>
        </w:tc>
        <w:tc>
          <w:tcPr>
            <w:tcW w:w="2659" w:type="dxa"/>
          </w:tcPr>
          <w:p w14:paraId="255B4714" w14:textId="74D52D16" w:rsidR="00343424" w:rsidRPr="006A4ACA" w:rsidRDefault="00343424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E-mail Buitenhek </w:t>
            </w:r>
            <w:r w:rsidR="00747119" w:rsidRPr="006A4ACA">
              <w:rPr>
                <w:rFonts w:cstheme="minorHAnsi"/>
              </w:rPr>
              <w:t xml:space="preserve">van </w:t>
            </w:r>
            <w:r w:rsidRPr="006A4ACA">
              <w:rPr>
                <w:rFonts w:cstheme="minorHAnsi"/>
              </w:rPr>
              <w:t>3-7-2018</w:t>
            </w:r>
            <w:r w:rsidR="000874FA" w:rsidRPr="006A4ACA">
              <w:rPr>
                <w:rFonts w:cstheme="minorHAnsi"/>
              </w:rPr>
              <w:t>.</w:t>
            </w:r>
            <w:r w:rsidR="005148D1" w:rsidRPr="006A4ACA">
              <w:rPr>
                <w:rFonts w:cstheme="minorHAnsi"/>
              </w:rPr>
              <w:t xml:space="preserve"> </w:t>
            </w:r>
            <w:r w:rsidR="00B34CD9" w:rsidRPr="006A4ACA">
              <w:rPr>
                <w:rFonts w:cstheme="minorHAnsi"/>
              </w:rPr>
              <w:t xml:space="preserve">De PM-post is voor de </w:t>
            </w:r>
            <w:r w:rsidR="00B17FF1" w:rsidRPr="006A4ACA">
              <w:rPr>
                <w:rFonts w:cstheme="minorHAnsi"/>
              </w:rPr>
              <w:t xml:space="preserve">mogelijke </w:t>
            </w:r>
            <w:r w:rsidR="005148D1" w:rsidRPr="006A4ACA">
              <w:rPr>
                <w:rFonts w:cstheme="minorHAnsi"/>
              </w:rPr>
              <w:t>gevolgen</w:t>
            </w:r>
            <w:r w:rsidR="00B34CD9" w:rsidRPr="006A4ACA">
              <w:rPr>
                <w:rFonts w:cstheme="minorHAnsi"/>
              </w:rPr>
              <w:t xml:space="preserve"> van de</w:t>
            </w:r>
            <w:r w:rsidR="005148D1" w:rsidRPr="006A4ACA">
              <w:rPr>
                <w:rFonts w:cstheme="minorHAnsi"/>
              </w:rPr>
              <w:t xml:space="preserve"> herwaardering</w:t>
            </w:r>
            <w:r w:rsidR="000874FA" w:rsidRPr="006A4ACA">
              <w:rPr>
                <w:rFonts w:cstheme="minorHAnsi"/>
              </w:rPr>
              <w:t>.</w:t>
            </w:r>
          </w:p>
        </w:tc>
      </w:tr>
      <w:tr w:rsidR="0076768F" w:rsidRPr="006A4ACA" w14:paraId="495373DA" w14:textId="77777777" w:rsidTr="00E569E6">
        <w:tc>
          <w:tcPr>
            <w:tcW w:w="2518" w:type="dxa"/>
          </w:tcPr>
          <w:p w14:paraId="786C9084" w14:textId="77A38A6F" w:rsidR="00C93596" w:rsidRPr="006A4ACA" w:rsidRDefault="00C93596" w:rsidP="00733CF9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Mogelijke </w:t>
            </w:r>
            <w:r w:rsidRPr="006A4ACA">
              <w:rPr>
                <w:rFonts w:cstheme="minorHAnsi"/>
                <w:u w:val="single"/>
              </w:rPr>
              <w:t>inkomsten</w:t>
            </w:r>
            <w:r w:rsidRPr="006A4ACA">
              <w:rPr>
                <w:rFonts w:cstheme="minorHAnsi"/>
              </w:rPr>
              <w:t xml:space="preserve"> uit </w:t>
            </w:r>
            <w:r w:rsidR="00733CF9" w:rsidRPr="006A4ACA">
              <w:rPr>
                <w:rFonts w:cstheme="minorHAnsi"/>
              </w:rPr>
              <w:t>de bewerking van over te brengen archieven in opdracht van gemeenten en gemeenschappelijke regelingen</w:t>
            </w:r>
          </w:p>
        </w:tc>
        <w:tc>
          <w:tcPr>
            <w:tcW w:w="1418" w:type="dxa"/>
          </w:tcPr>
          <w:p w14:paraId="77F10F50" w14:textId="2D979AB6" w:rsidR="00343424" w:rsidRPr="006A4ACA" w:rsidRDefault="00C93596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PM</w:t>
            </w:r>
          </w:p>
        </w:tc>
        <w:tc>
          <w:tcPr>
            <w:tcW w:w="1443" w:type="dxa"/>
          </w:tcPr>
          <w:p w14:paraId="75E55789" w14:textId="77777777" w:rsidR="00343424" w:rsidRPr="006A4ACA" w:rsidRDefault="00343424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1250" w:type="dxa"/>
          </w:tcPr>
          <w:p w14:paraId="7A5C1D20" w14:textId="20FCD244" w:rsidR="00343424" w:rsidRPr="006A4ACA" w:rsidRDefault="00C93596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2019-2022</w:t>
            </w:r>
          </w:p>
        </w:tc>
        <w:tc>
          <w:tcPr>
            <w:tcW w:w="2659" w:type="dxa"/>
          </w:tcPr>
          <w:p w14:paraId="3AD6464B" w14:textId="5802CDF7" w:rsidR="00343424" w:rsidRPr="006A4ACA" w:rsidRDefault="00733CF9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>Zie actielijn 4.</w:t>
            </w:r>
          </w:p>
        </w:tc>
      </w:tr>
      <w:tr w:rsidR="0076768F" w:rsidRPr="006A4ACA" w14:paraId="48E643DE" w14:textId="77777777" w:rsidTr="00E569E6">
        <w:tc>
          <w:tcPr>
            <w:tcW w:w="2518" w:type="dxa"/>
          </w:tcPr>
          <w:p w14:paraId="416517D8" w14:textId="77777777" w:rsidR="00800E0C" w:rsidRPr="006A4ACA" w:rsidRDefault="00800E0C" w:rsidP="007D4389">
            <w:pPr>
              <w:pStyle w:val="Kop2"/>
              <w:outlineLvl w:val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904C69" w14:textId="1989233D" w:rsidR="00343424" w:rsidRPr="006A4ACA" w:rsidRDefault="003F4F24" w:rsidP="007D4389">
            <w:pPr>
              <w:pStyle w:val="Kop2"/>
              <w:outlineLvl w:val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4ACA">
              <w:rPr>
                <w:rFonts w:asciiTheme="minorHAnsi" w:hAnsiTheme="minorHAnsi" w:cstheme="minorHAnsi"/>
                <w:b/>
                <w:sz w:val="22"/>
                <w:szCs w:val="22"/>
              </w:rPr>
              <w:t>Huisvestingskosten:</w:t>
            </w:r>
          </w:p>
        </w:tc>
        <w:tc>
          <w:tcPr>
            <w:tcW w:w="1418" w:type="dxa"/>
          </w:tcPr>
          <w:p w14:paraId="37D0264C" w14:textId="77777777" w:rsidR="00343424" w:rsidRPr="006A4ACA" w:rsidRDefault="00343424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1443" w:type="dxa"/>
          </w:tcPr>
          <w:p w14:paraId="4759F665" w14:textId="58A00F20" w:rsidR="00343424" w:rsidRPr="006A4ACA" w:rsidRDefault="00343424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1250" w:type="dxa"/>
          </w:tcPr>
          <w:p w14:paraId="614E50CA" w14:textId="72238B33" w:rsidR="00343424" w:rsidRPr="006A4ACA" w:rsidRDefault="00343424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2659" w:type="dxa"/>
          </w:tcPr>
          <w:p w14:paraId="147E35E5" w14:textId="77777777" w:rsidR="00343424" w:rsidRPr="006A4ACA" w:rsidRDefault="00343424">
            <w:pPr>
              <w:rPr>
                <w:rFonts w:cstheme="minorHAnsi"/>
              </w:rPr>
            </w:pPr>
          </w:p>
        </w:tc>
      </w:tr>
      <w:tr w:rsidR="0076768F" w:rsidRPr="006A4ACA" w14:paraId="4ECFC23D" w14:textId="77777777" w:rsidTr="00E569E6">
        <w:tc>
          <w:tcPr>
            <w:tcW w:w="2518" w:type="dxa"/>
          </w:tcPr>
          <w:p w14:paraId="44C685E6" w14:textId="554F757C" w:rsidR="00DD7C03" w:rsidRPr="006A4ACA" w:rsidRDefault="00DD7C03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>Kantoor</w:t>
            </w:r>
            <w:r w:rsidR="0076768F" w:rsidRPr="006A4ACA">
              <w:rPr>
                <w:rFonts w:cstheme="minorHAnsi"/>
              </w:rPr>
              <w:t>- en vergader</w:t>
            </w:r>
            <w:r w:rsidRPr="006A4ACA">
              <w:rPr>
                <w:rFonts w:cstheme="minorHAnsi"/>
              </w:rPr>
              <w:t>ruimte</w:t>
            </w:r>
          </w:p>
        </w:tc>
        <w:tc>
          <w:tcPr>
            <w:tcW w:w="1418" w:type="dxa"/>
          </w:tcPr>
          <w:p w14:paraId="0F0B91C3" w14:textId="477A2A5E" w:rsidR="00DD7C03" w:rsidRPr="006A4ACA" w:rsidRDefault="0076768F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€ 10.000</w:t>
            </w:r>
          </w:p>
        </w:tc>
        <w:tc>
          <w:tcPr>
            <w:tcW w:w="1443" w:type="dxa"/>
          </w:tcPr>
          <w:p w14:paraId="49E3AB13" w14:textId="021D5DBB" w:rsidR="00DD7C03" w:rsidRPr="006A4ACA" w:rsidRDefault="00DD7C03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€ 11.000</w:t>
            </w:r>
          </w:p>
        </w:tc>
        <w:tc>
          <w:tcPr>
            <w:tcW w:w="1250" w:type="dxa"/>
          </w:tcPr>
          <w:p w14:paraId="3E26CB73" w14:textId="3BA174EC" w:rsidR="00DD7C03" w:rsidRPr="006A4ACA" w:rsidRDefault="00DD7C03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2019-2022</w:t>
            </w:r>
          </w:p>
        </w:tc>
        <w:tc>
          <w:tcPr>
            <w:tcW w:w="2659" w:type="dxa"/>
          </w:tcPr>
          <w:p w14:paraId="7157C28E" w14:textId="48A4BC18" w:rsidR="00DD7C03" w:rsidRPr="006A4ACA" w:rsidRDefault="00DD7C03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Nodig voor de twee nieuwe medewerkers en de </w:t>
            </w:r>
            <w:r w:rsidR="002B614D" w:rsidRPr="006A4ACA">
              <w:rPr>
                <w:rFonts w:cstheme="minorHAnsi"/>
              </w:rPr>
              <w:t xml:space="preserve">vele </w:t>
            </w:r>
            <w:r w:rsidRPr="006A4ACA">
              <w:rPr>
                <w:rFonts w:cstheme="minorHAnsi"/>
              </w:rPr>
              <w:t>vrijwilligers</w:t>
            </w:r>
            <w:r w:rsidR="0076768F" w:rsidRPr="006A4ACA">
              <w:rPr>
                <w:rFonts w:cstheme="minorHAnsi"/>
              </w:rPr>
              <w:t>. De incidentele kosten zijn voor de inrichting (tafels en stoelen voor twee vertrekken van 20 + 60 m</w:t>
            </w:r>
            <w:r w:rsidR="0076768F" w:rsidRPr="006A4ACA">
              <w:rPr>
                <w:rFonts w:cstheme="minorHAnsi"/>
                <w:vertAlign w:val="superscript"/>
              </w:rPr>
              <w:t>2</w:t>
            </w:r>
            <w:r w:rsidR="0076768F" w:rsidRPr="006A4ACA">
              <w:rPr>
                <w:rFonts w:cstheme="minorHAnsi"/>
              </w:rPr>
              <w:t>).</w:t>
            </w:r>
          </w:p>
        </w:tc>
      </w:tr>
      <w:tr w:rsidR="0076768F" w:rsidRPr="006A4ACA" w14:paraId="7C65D8CD" w14:textId="77777777" w:rsidTr="00E569E6">
        <w:tc>
          <w:tcPr>
            <w:tcW w:w="2518" w:type="dxa"/>
          </w:tcPr>
          <w:p w14:paraId="135B735B" w14:textId="0F5A286B" w:rsidR="00DD7C03" w:rsidRPr="006A4ACA" w:rsidRDefault="008538F7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>Archief</w:t>
            </w:r>
            <w:r w:rsidR="00727463" w:rsidRPr="006A4ACA">
              <w:rPr>
                <w:rFonts w:cstheme="minorHAnsi"/>
              </w:rPr>
              <w:t>bewaarplaats</w:t>
            </w:r>
          </w:p>
        </w:tc>
        <w:tc>
          <w:tcPr>
            <w:tcW w:w="1418" w:type="dxa"/>
          </w:tcPr>
          <w:p w14:paraId="366531B1" w14:textId="77777777" w:rsidR="00DD7C03" w:rsidRPr="006A4ACA" w:rsidRDefault="00DD7C03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1443" w:type="dxa"/>
          </w:tcPr>
          <w:p w14:paraId="63301FA7" w14:textId="252FD1DF" w:rsidR="00DD7C03" w:rsidRPr="006A4ACA" w:rsidRDefault="00293F82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€ </w:t>
            </w:r>
            <w:r w:rsidR="005D1957" w:rsidRPr="006A4ACA">
              <w:rPr>
                <w:rFonts w:cstheme="minorHAnsi"/>
              </w:rPr>
              <w:t>21.000</w:t>
            </w:r>
          </w:p>
        </w:tc>
        <w:tc>
          <w:tcPr>
            <w:tcW w:w="1250" w:type="dxa"/>
          </w:tcPr>
          <w:p w14:paraId="483B2707" w14:textId="2C170957" w:rsidR="00DD7C03" w:rsidRPr="006A4ACA" w:rsidRDefault="008538F7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Vanaf </w:t>
            </w:r>
            <w:r w:rsidR="00733CF9" w:rsidRPr="006A4ACA">
              <w:rPr>
                <w:rFonts w:cstheme="minorHAnsi"/>
              </w:rPr>
              <w:t>202</w:t>
            </w:r>
            <w:r w:rsidR="005D1957" w:rsidRPr="006A4ACA">
              <w:rPr>
                <w:rFonts w:cstheme="minorHAnsi"/>
              </w:rPr>
              <w:t>2</w:t>
            </w:r>
          </w:p>
        </w:tc>
        <w:tc>
          <w:tcPr>
            <w:tcW w:w="2659" w:type="dxa"/>
          </w:tcPr>
          <w:p w14:paraId="2B032083" w14:textId="6EEA8C71" w:rsidR="00293F82" w:rsidRPr="006A4ACA" w:rsidRDefault="00293F82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Zie de </w:t>
            </w:r>
            <w:r w:rsidRPr="006A4ACA">
              <w:rPr>
                <w:rFonts w:cstheme="minorHAnsi"/>
                <w:i/>
              </w:rPr>
              <w:t>Verkennende notitie over de depotcapaciteit</w:t>
            </w:r>
            <w:r w:rsidRPr="006A4ACA">
              <w:rPr>
                <w:rFonts w:cstheme="minorHAnsi"/>
              </w:rPr>
              <w:t xml:space="preserve"> uit maart 2016.</w:t>
            </w:r>
          </w:p>
          <w:p w14:paraId="20551DD3" w14:textId="0C6C580A" w:rsidR="00DD7C03" w:rsidRPr="006A4ACA" w:rsidRDefault="00C93596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lastRenderedPageBreak/>
              <w:t>Het ingangsjaar is mede afhankelijk</w:t>
            </w:r>
            <w:r w:rsidR="002F20A1" w:rsidRPr="006A4ACA">
              <w:rPr>
                <w:rFonts w:cstheme="minorHAnsi"/>
              </w:rPr>
              <w:t xml:space="preserve"> van de (vervroegde) overbrenging</w:t>
            </w:r>
            <w:r w:rsidR="00733CF9" w:rsidRPr="006A4ACA">
              <w:rPr>
                <w:rFonts w:cstheme="minorHAnsi"/>
              </w:rPr>
              <w:t xml:space="preserve"> </w:t>
            </w:r>
            <w:r w:rsidR="005D1957" w:rsidRPr="006A4ACA">
              <w:rPr>
                <w:rFonts w:cstheme="minorHAnsi"/>
              </w:rPr>
              <w:t xml:space="preserve">en substitutie </w:t>
            </w:r>
            <w:r w:rsidR="00733CF9" w:rsidRPr="006A4ACA">
              <w:rPr>
                <w:rFonts w:cstheme="minorHAnsi"/>
              </w:rPr>
              <w:t>van papieren archieven</w:t>
            </w:r>
            <w:r w:rsidR="00F506D2" w:rsidRPr="006A4ACA">
              <w:rPr>
                <w:rFonts w:cstheme="minorHAnsi"/>
              </w:rPr>
              <w:t>. Buiten b</w:t>
            </w:r>
            <w:r w:rsidR="00580D49" w:rsidRPr="006A4ACA">
              <w:rPr>
                <w:rFonts w:cstheme="minorHAnsi"/>
              </w:rPr>
              <w:t xml:space="preserve">eschouwing blijft </w:t>
            </w:r>
            <w:r w:rsidR="00737028" w:rsidRPr="006A4ACA">
              <w:rPr>
                <w:rFonts w:cstheme="minorHAnsi"/>
              </w:rPr>
              <w:t>Vianen/</w:t>
            </w:r>
            <w:r w:rsidR="00733CF9" w:rsidRPr="006A4ACA">
              <w:rPr>
                <w:rFonts w:cstheme="minorHAnsi"/>
              </w:rPr>
              <w:t xml:space="preserve"> Vijfheerenlanden.</w:t>
            </w:r>
          </w:p>
        </w:tc>
      </w:tr>
      <w:tr w:rsidR="0076768F" w:rsidRPr="006A4ACA" w14:paraId="2F0F7157" w14:textId="77777777" w:rsidTr="00E569E6">
        <w:tc>
          <w:tcPr>
            <w:tcW w:w="2518" w:type="dxa"/>
          </w:tcPr>
          <w:p w14:paraId="1ED3ED45" w14:textId="77777777" w:rsidR="00F00CD9" w:rsidRPr="006A4ACA" w:rsidRDefault="00F00CD9" w:rsidP="007D4389">
            <w:pPr>
              <w:pStyle w:val="Kop2"/>
              <w:outlineLvl w:val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8348D0" w14:textId="1CE37843" w:rsidR="00DD7C03" w:rsidRPr="006A4ACA" w:rsidRDefault="001263A4" w:rsidP="007D4389">
            <w:pPr>
              <w:pStyle w:val="Kop2"/>
              <w:outlineLvl w:val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4ACA">
              <w:rPr>
                <w:rFonts w:asciiTheme="minorHAnsi" w:hAnsiTheme="minorHAnsi" w:cstheme="minorHAnsi"/>
                <w:b/>
                <w:sz w:val="22"/>
                <w:szCs w:val="22"/>
              </w:rPr>
              <w:t>Overheadkosten</w:t>
            </w:r>
            <w:r w:rsidR="00446915" w:rsidRPr="006A4AC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418" w:type="dxa"/>
          </w:tcPr>
          <w:p w14:paraId="5D8D0756" w14:textId="77777777" w:rsidR="00DD7C03" w:rsidRPr="006A4ACA" w:rsidRDefault="00DD7C03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1443" w:type="dxa"/>
          </w:tcPr>
          <w:p w14:paraId="065F5BCB" w14:textId="77777777" w:rsidR="00DD7C03" w:rsidRPr="006A4ACA" w:rsidRDefault="00DD7C03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1250" w:type="dxa"/>
          </w:tcPr>
          <w:p w14:paraId="13511D4B" w14:textId="77777777" w:rsidR="00DD7C03" w:rsidRPr="006A4ACA" w:rsidRDefault="00DD7C03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2659" w:type="dxa"/>
          </w:tcPr>
          <w:p w14:paraId="29DD6F9C" w14:textId="77777777" w:rsidR="00DD7C03" w:rsidRPr="006A4ACA" w:rsidRDefault="00DD7C03" w:rsidP="00DD7C03">
            <w:pPr>
              <w:rPr>
                <w:rFonts w:cstheme="minorHAnsi"/>
              </w:rPr>
            </w:pPr>
          </w:p>
        </w:tc>
      </w:tr>
      <w:tr w:rsidR="0076768F" w:rsidRPr="006A4ACA" w14:paraId="7B79CA0E" w14:textId="77777777" w:rsidTr="00E569E6">
        <w:tc>
          <w:tcPr>
            <w:tcW w:w="2518" w:type="dxa"/>
          </w:tcPr>
          <w:p w14:paraId="7E7BDCE2" w14:textId="220C64A2" w:rsidR="00DD7C03" w:rsidRPr="006A4ACA" w:rsidRDefault="00446915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>ICT</w:t>
            </w:r>
            <w:r w:rsidR="00A000E1" w:rsidRPr="006A4ACA">
              <w:rPr>
                <w:rFonts w:cstheme="minorHAnsi"/>
              </w:rPr>
              <w:t>-dienstverlening</w:t>
            </w:r>
          </w:p>
        </w:tc>
        <w:tc>
          <w:tcPr>
            <w:tcW w:w="1418" w:type="dxa"/>
          </w:tcPr>
          <w:p w14:paraId="70D5D8D6" w14:textId="06AA7F8C" w:rsidR="00DD7C03" w:rsidRPr="006A4ACA" w:rsidRDefault="00DD7C03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1443" w:type="dxa"/>
          </w:tcPr>
          <w:p w14:paraId="56EC8AFE" w14:textId="117AC70F" w:rsidR="00DD7C03" w:rsidRPr="006A4ACA" w:rsidRDefault="00FD7C58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€</w:t>
            </w:r>
            <w:r w:rsidR="00A000E1" w:rsidRPr="006A4ACA">
              <w:rPr>
                <w:rFonts w:cstheme="minorHAnsi"/>
              </w:rPr>
              <w:t xml:space="preserve"> 6.000</w:t>
            </w:r>
          </w:p>
        </w:tc>
        <w:tc>
          <w:tcPr>
            <w:tcW w:w="1250" w:type="dxa"/>
          </w:tcPr>
          <w:p w14:paraId="4B9D18DA" w14:textId="3CD48A70" w:rsidR="00DD7C03" w:rsidRPr="006A4ACA" w:rsidRDefault="00A000E1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Vanaf 2019/2020</w:t>
            </w:r>
          </w:p>
        </w:tc>
        <w:tc>
          <w:tcPr>
            <w:tcW w:w="2659" w:type="dxa"/>
          </w:tcPr>
          <w:p w14:paraId="64CF3038" w14:textId="41C6E776" w:rsidR="00DD7C03" w:rsidRPr="006A4ACA" w:rsidRDefault="00A000E1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>Drie</w:t>
            </w:r>
            <w:r w:rsidR="00FD7C58" w:rsidRPr="006A4ACA">
              <w:rPr>
                <w:rFonts w:cstheme="minorHAnsi"/>
              </w:rPr>
              <w:t xml:space="preserve"> extra ICT-accoun</w:t>
            </w:r>
            <w:r w:rsidRPr="006A4ACA">
              <w:rPr>
                <w:rFonts w:cstheme="minorHAnsi"/>
              </w:rPr>
              <w:t>ts van de gemeente Houten.</w:t>
            </w:r>
          </w:p>
        </w:tc>
      </w:tr>
      <w:tr w:rsidR="0076768F" w:rsidRPr="006A4ACA" w14:paraId="10EB024A" w14:textId="77777777" w:rsidTr="00E569E6">
        <w:tc>
          <w:tcPr>
            <w:tcW w:w="2518" w:type="dxa"/>
          </w:tcPr>
          <w:p w14:paraId="43423C32" w14:textId="77777777" w:rsidR="00F00CD9" w:rsidRPr="006A4ACA" w:rsidRDefault="00F00CD9" w:rsidP="007D4389">
            <w:pPr>
              <w:pStyle w:val="Kop2"/>
              <w:outlineLvl w:val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BFC578" w14:textId="6712F686" w:rsidR="00DD7C03" w:rsidRPr="006A4ACA" w:rsidRDefault="0017762D" w:rsidP="007D4389">
            <w:pPr>
              <w:pStyle w:val="Kop2"/>
              <w:outlineLvl w:val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4ACA">
              <w:rPr>
                <w:rFonts w:asciiTheme="minorHAnsi" w:hAnsiTheme="minorHAnsi" w:cstheme="minorHAnsi"/>
                <w:b/>
                <w:sz w:val="22"/>
                <w:szCs w:val="22"/>
              </w:rPr>
              <w:t>Digitaliseringskosten:</w:t>
            </w:r>
          </w:p>
        </w:tc>
        <w:tc>
          <w:tcPr>
            <w:tcW w:w="1418" w:type="dxa"/>
          </w:tcPr>
          <w:p w14:paraId="5D07653C" w14:textId="77777777" w:rsidR="00DD7C03" w:rsidRPr="006A4ACA" w:rsidRDefault="00DD7C03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1443" w:type="dxa"/>
          </w:tcPr>
          <w:p w14:paraId="7FC38410" w14:textId="77777777" w:rsidR="00DD7C03" w:rsidRPr="006A4ACA" w:rsidRDefault="00DD7C03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1250" w:type="dxa"/>
          </w:tcPr>
          <w:p w14:paraId="0AAE4EC7" w14:textId="77777777" w:rsidR="00DD7C03" w:rsidRPr="006A4ACA" w:rsidRDefault="00DD7C03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2659" w:type="dxa"/>
          </w:tcPr>
          <w:p w14:paraId="5C10F099" w14:textId="77777777" w:rsidR="00DD7C03" w:rsidRPr="006A4ACA" w:rsidRDefault="00DD7C03" w:rsidP="00DD7C03">
            <w:pPr>
              <w:rPr>
                <w:rFonts w:cstheme="minorHAnsi"/>
              </w:rPr>
            </w:pPr>
          </w:p>
        </w:tc>
      </w:tr>
      <w:tr w:rsidR="0076768F" w:rsidRPr="006A4ACA" w14:paraId="0DA9C844" w14:textId="77777777" w:rsidTr="00E569E6">
        <w:tc>
          <w:tcPr>
            <w:tcW w:w="2518" w:type="dxa"/>
          </w:tcPr>
          <w:p w14:paraId="22C38928" w14:textId="5DEEF16B" w:rsidR="00DD7C03" w:rsidRPr="006A4ACA" w:rsidRDefault="0017762D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Website </w:t>
            </w:r>
          </w:p>
        </w:tc>
        <w:tc>
          <w:tcPr>
            <w:tcW w:w="1418" w:type="dxa"/>
          </w:tcPr>
          <w:p w14:paraId="427186D1" w14:textId="2B760603" w:rsidR="00DD7C03" w:rsidRPr="006A4ACA" w:rsidRDefault="0017762D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€ 30.000</w:t>
            </w:r>
          </w:p>
        </w:tc>
        <w:tc>
          <w:tcPr>
            <w:tcW w:w="1443" w:type="dxa"/>
          </w:tcPr>
          <w:p w14:paraId="184DDE1D" w14:textId="01D52F70" w:rsidR="00DD7C03" w:rsidRPr="006A4ACA" w:rsidRDefault="0017762D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€ 3.000</w:t>
            </w:r>
          </w:p>
        </w:tc>
        <w:tc>
          <w:tcPr>
            <w:tcW w:w="1250" w:type="dxa"/>
          </w:tcPr>
          <w:p w14:paraId="7E4EBE5F" w14:textId="1CC81E0F" w:rsidR="00DD7C03" w:rsidRPr="006A4ACA" w:rsidRDefault="0017762D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In en vanaf 2019</w:t>
            </w:r>
          </w:p>
        </w:tc>
        <w:tc>
          <w:tcPr>
            <w:tcW w:w="2659" w:type="dxa"/>
          </w:tcPr>
          <w:p w14:paraId="2DEA396D" w14:textId="4E68D82A" w:rsidR="00DD7C03" w:rsidRPr="006A4ACA" w:rsidRDefault="0017762D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De website moet </w:t>
            </w:r>
            <w:r w:rsidR="00DB4148" w:rsidRPr="006A4ACA">
              <w:rPr>
                <w:rFonts w:cstheme="minorHAnsi"/>
              </w:rPr>
              <w:t xml:space="preserve">eenmalig </w:t>
            </w:r>
            <w:r w:rsidRPr="006A4ACA">
              <w:rPr>
                <w:rFonts w:cstheme="minorHAnsi"/>
              </w:rPr>
              <w:t xml:space="preserve">geheel worden vernieuwd en vervolgens </w:t>
            </w:r>
            <w:r w:rsidR="00DB4148" w:rsidRPr="006A4ACA">
              <w:rPr>
                <w:rFonts w:cstheme="minorHAnsi"/>
              </w:rPr>
              <w:t>structureel worden bijgehouden.</w:t>
            </w:r>
          </w:p>
        </w:tc>
      </w:tr>
      <w:tr w:rsidR="0076768F" w:rsidRPr="006A4ACA" w14:paraId="32BB1D1C" w14:textId="77777777" w:rsidTr="00E569E6">
        <w:tc>
          <w:tcPr>
            <w:tcW w:w="2518" w:type="dxa"/>
          </w:tcPr>
          <w:p w14:paraId="45749EFC" w14:textId="5B3ADDAA" w:rsidR="00DD7C03" w:rsidRPr="006A4ACA" w:rsidRDefault="00940BD9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Kosten </w:t>
            </w:r>
            <w:r w:rsidR="007531F4" w:rsidRPr="006A4ACA">
              <w:rPr>
                <w:rFonts w:cstheme="minorHAnsi"/>
              </w:rPr>
              <w:t>digitalisering</w:t>
            </w:r>
            <w:r w:rsidRPr="006A4ACA">
              <w:rPr>
                <w:rFonts w:cstheme="minorHAnsi"/>
              </w:rPr>
              <w:t>, hosting en onderhoud van de applicaties</w:t>
            </w:r>
          </w:p>
        </w:tc>
        <w:tc>
          <w:tcPr>
            <w:tcW w:w="1418" w:type="dxa"/>
          </w:tcPr>
          <w:p w14:paraId="260411ED" w14:textId="710C805F" w:rsidR="00DD7C03" w:rsidRPr="006A4ACA" w:rsidRDefault="000D6BF3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€ 27.000</w:t>
            </w:r>
          </w:p>
        </w:tc>
        <w:tc>
          <w:tcPr>
            <w:tcW w:w="1443" w:type="dxa"/>
          </w:tcPr>
          <w:p w14:paraId="0530658D" w14:textId="2B29CD3E" w:rsidR="00DD7C03" w:rsidRPr="006A4ACA" w:rsidRDefault="001738A2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€ </w:t>
            </w:r>
            <w:r w:rsidR="009F0772" w:rsidRPr="006A4ACA">
              <w:rPr>
                <w:rFonts w:cstheme="minorHAnsi"/>
              </w:rPr>
              <w:t>10.000</w:t>
            </w:r>
          </w:p>
        </w:tc>
        <w:tc>
          <w:tcPr>
            <w:tcW w:w="1250" w:type="dxa"/>
          </w:tcPr>
          <w:p w14:paraId="2CB48B65" w14:textId="06531C93" w:rsidR="00DD7C03" w:rsidRPr="006A4ACA" w:rsidRDefault="00E86ACB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20</w:t>
            </w:r>
            <w:r w:rsidR="00994CCA" w:rsidRPr="006A4ACA">
              <w:rPr>
                <w:rFonts w:cstheme="minorHAnsi"/>
              </w:rPr>
              <w:t>20</w:t>
            </w:r>
            <w:r w:rsidR="00940BD9" w:rsidRPr="006A4ACA">
              <w:rPr>
                <w:rFonts w:cstheme="minorHAnsi"/>
              </w:rPr>
              <w:t>-2022</w:t>
            </w:r>
          </w:p>
        </w:tc>
        <w:tc>
          <w:tcPr>
            <w:tcW w:w="2659" w:type="dxa"/>
          </w:tcPr>
          <w:p w14:paraId="6675818C" w14:textId="77777777" w:rsidR="00E05A34" w:rsidRPr="006A4ACA" w:rsidRDefault="000D6BF3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De kosten van het scanproject voor de notariële archieven wordt geschat op € 27.000 eenmalig, te verdelen over bijvoorbeeld 2020 </w:t>
            </w:r>
          </w:p>
          <w:p w14:paraId="6FCD3626" w14:textId="77777777" w:rsidR="00E05A34" w:rsidRPr="006A4ACA" w:rsidRDefault="001738A2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(€ 19.000) </w:t>
            </w:r>
            <w:r w:rsidR="000D6BF3" w:rsidRPr="006A4ACA">
              <w:rPr>
                <w:rFonts w:cstheme="minorHAnsi"/>
              </w:rPr>
              <w:t>en 2021</w:t>
            </w:r>
            <w:r w:rsidRPr="006A4ACA">
              <w:rPr>
                <w:rFonts w:cstheme="minorHAnsi"/>
              </w:rPr>
              <w:t xml:space="preserve"> </w:t>
            </w:r>
          </w:p>
          <w:p w14:paraId="6D99E357" w14:textId="44F7C1A8" w:rsidR="00940BD9" w:rsidRPr="006A4ACA" w:rsidRDefault="001738A2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>(€ 8.000).</w:t>
            </w:r>
          </w:p>
          <w:p w14:paraId="25546BDF" w14:textId="4A68F87E" w:rsidR="00DD7C03" w:rsidRPr="006A4ACA" w:rsidRDefault="00940BD9" w:rsidP="00E05A34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>Het huidige digitaliserings</w:t>
            </w:r>
            <w:r w:rsidR="00E05A34" w:rsidRPr="006A4ACA">
              <w:rPr>
                <w:rFonts w:cstheme="minorHAnsi"/>
              </w:rPr>
              <w:t>-</w:t>
            </w:r>
            <w:r w:rsidRPr="006A4ACA">
              <w:rPr>
                <w:rFonts w:cstheme="minorHAnsi"/>
              </w:rPr>
              <w:t xml:space="preserve">budget van € 32.000 p.j. voor de eigen collectie is ontoereikend en dient </w:t>
            </w:r>
            <w:r w:rsidR="00727463" w:rsidRPr="006A4ACA">
              <w:rPr>
                <w:rFonts w:cstheme="minorHAnsi"/>
              </w:rPr>
              <w:t xml:space="preserve">met </w:t>
            </w:r>
            <w:r w:rsidRPr="006A4ACA">
              <w:rPr>
                <w:rFonts w:cstheme="minorHAnsi"/>
              </w:rPr>
              <w:t xml:space="preserve">naar schatting € 10.000 </w:t>
            </w:r>
            <w:r w:rsidR="00257AF9" w:rsidRPr="006A4ACA">
              <w:rPr>
                <w:rFonts w:cstheme="minorHAnsi"/>
              </w:rPr>
              <w:t xml:space="preserve">structureel </w:t>
            </w:r>
            <w:r w:rsidRPr="006A4ACA">
              <w:rPr>
                <w:rFonts w:cstheme="minorHAnsi"/>
              </w:rPr>
              <w:t xml:space="preserve">te worden verhoogd. </w:t>
            </w:r>
          </w:p>
        </w:tc>
      </w:tr>
      <w:tr w:rsidR="0076768F" w:rsidRPr="006A4ACA" w14:paraId="32BA5B9A" w14:textId="77777777" w:rsidTr="00E569E6">
        <w:tc>
          <w:tcPr>
            <w:tcW w:w="2518" w:type="dxa"/>
          </w:tcPr>
          <w:p w14:paraId="36D79936" w14:textId="1E8D4BFD" w:rsidR="00DD7C03" w:rsidRPr="006A4ACA" w:rsidRDefault="007C41DC" w:rsidP="007D4389">
            <w:pPr>
              <w:pStyle w:val="Kop2"/>
              <w:outlineLvl w:val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4ACA">
              <w:rPr>
                <w:rFonts w:asciiTheme="minorHAnsi" w:hAnsiTheme="minorHAnsi" w:cstheme="minorHAnsi"/>
                <w:b/>
                <w:sz w:val="22"/>
                <w:szCs w:val="22"/>
              </w:rPr>
              <w:t>Materiaalkosten</w:t>
            </w:r>
            <w:r w:rsidR="007D4389" w:rsidRPr="006A4AC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418" w:type="dxa"/>
          </w:tcPr>
          <w:p w14:paraId="081D76BA" w14:textId="77777777" w:rsidR="00DD7C03" w:rsidRPr="006A4ACA" w:rsidRDefault="00DD7C03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1443" w:type="dxa"/>
          </w:tcPr>
          <w:p w14:paraId="6D606355" w14:textId="7BFE9786" w:rsidR="00DD7C03" w:rsidRPr="006A4ACA" w:rsidRDefault="007C41DC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€ 3.000</w:t>
            </w:r>
          </w:p>
        </w:tc>
        <w:tc>
          <w:tcPr>
            <w:tcW w:w="1250" w:type="dxa"/>
          </w:tcPr>
          <w:p w14:paraId="25CFA2B3" w14:textId="0F6628EF" w:rsidR="00DD7C03" w:rsidRPr="006A4ACA" w:rsidRDefault="007C41DC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2019-2022</w:t>
            </w:r>
          </w:p>
        </w:tc>
        <w:tc>
          <w:tcPr>
            <w:tcW w:w="2659" w:type="dxa"/>
          </w:tcPr>
          <w:p w14:paraId="5003F707" w14:textId="77777777" w:rsidR="00C87F8E" w:rsidRPr="006A4ACA" w:rsidRDefault="007C41DC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Het huidige budget voor materiaalkosten van </w:t>
            </w:r>
          </w:p>
          <w:p w14:paraId="29A17962" w14:textId="3E68A80E" w:rsidR="00DD7C03" w:rsidRPr="006A4ACA" w:rsidRDefault="007C41DC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€ 12.000 p.j. schiet tekort en dient met </w:t>
            </w:r>
            <w:r w:rsidR="00727463" w:rsidRPr="006A4ACA">
              <w:rPr>
                <w:rFonts w:cstheme="minorHAnsi"/>
              </w:rPr>
              <w:t xml:space="preserve">ca. </w:t>
            </w:r>
            <w:r w:rsidRPr="006A4ACA">
              <w:rPr>
                <w:rFonts w:cstheme="minorHAnsi"/>
              </w:rPr>
              <w:t>€ 3.000 te worden verhoogd.</w:t>
            </w:r>
          </w:p>
        </w:tc>
      </w:tr>
      <w:tr w:rsidR="0076768F" w:rsidRPr="006A4ACA" w14:paraId="27994FA1" w14:textId="77777777" w:rsidTr="00E569E6">
        <w:tc>
          <w:tcPr>
            <w:tcW w:w="2518" w:type="dxa"/>
          </w:tcPr>
          <w:p w14:paraId="5F0C129E" w14:textId="77777777" w:rsidR="00F00CD9" w:rsidRPr="006A4ACA" w:rsidRDefault="00F00CD9" w:rsidP="007D4389">
            <w:pPr>
              <w:pStyle w:val="Kop2"/>
              <w:outlineLvl w:val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485270" w14:textId="45381C8B" w:rsidR="00DD7C03" w:rsidRPr="006A4ACA" w:rsidRDefault="005C4B3A" w:rsidP="007D4389">
            <w:pPr>
              <w:pStyle w:val="Kop2"/>
              <w:outlineLvl w:val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4ACA">
              <w:rPr>
                <w:rFonts w:asciiTheme="minorHAnsi" w:hAnsiTheme="minorHAnsi" w:cstheme="minorHAnsi"/>
                <w:b/>
                <w:sz w:val="22"/>
                <w:szCs w:val="22"/>
              </w:rPr>
              <w:t>E-depotkosten:</w:t>
            </w:r>
          </w:p>
        </w:tc>
        <w:tc>
          <w:tcPr>
            <w:tcW w:w="1418" w:type="dxa"/>
          </w:tcPr>
          <w:p w14:paraId="138F3981" w14:textId="77777777" w:rsidR="00DD7C03" w:rsidRPr="006A4ACA" w:rsidRDefault="00DD7C03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1443" w:type="dxa"/>
          </w:tcPr>
          <w:p w14:paraId="789DC0C8" w14:textId="77777777" w:rsidR="00DD7C03" w:rsidRPr="006A4ACA" w:rsidRDefault="00DD7C03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1250" w:type="dxa"/>
          </w:tcPr>
          <w:p w14:paraId="56F9BE54" w14:textId="77777777" w:rsidR="00DD7C03" w:rsidRPr="006A4ACA" w:rsidRDefault="00DD7C03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2659" w:type="dxa"/>
          </w:tcPr>
          <w:p w14:paraId="46077827" w14:textId="77777777" w:rsidR="00DD7C03" w:rsidRPr="006A4ACA" w:rsidRDefault="00DD7C03" w:rsidP="00DD7C03">
            <w:pPr>
              <w:rPr>
                <w:rFonts w:cstheme="minorHAnsi"/>
              </w:rPr>
            </w:pPr>
          </w:p>
        </w:tc>
      </w:tr>
      <w:tr w:rsidR="0076768F" w:rsidRPr="006A4ACA" w14:paraId="3010EDC5" w14:textId="77777777" w:rsidTr="00E569E6">
        <w:tc>
          <w:tcPr>
            <w:tcW w:w="2518" w:type="dxa"/>
          </w:tcPr>
          <w:p w14:paraId="3F9096B3" w14:textId="26808B59" w:rsidR="00DD7C03" w:rsidRPr="006A4ACA" w:rsidRDefault="005C4B3A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>Pilots</w:t>
            </w:r>
            <w:r w:rsidR="00104E0A" w:rsidRPr="006A4ACA">
              <w:rPr>
                <w:rFonts w:cstheme="minorHAnsi"/>
              </w:rPr>
              <w:t>, deels</w:t>
            </w:r>
            <w:r w:rsidRPr="006A4ACA">
              <w:rPr>
                <w:rFonts w:cstheme="minorHAnsi"/>
              </w:rPr>
              <w:t xml:space="preserve"> samen met partners</w:t>
            </w:r>
          </w:p>
        </w:tc>
        <w:tc>
          <w:tcPr>
            <w:tcW w:w="1418" w:type="dxa"/>
          </w:tcPr>
          <w:p w14:paraId="28F2283F" w14:textId="4B1F6C25" w:rsidR="00DD7C03" w:rsidRPr="006A4ACA" w:rsidRDefault="00B17FF1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n.v.t.</w:t>
            </w:r>
          </w:p>
        </w:tc>
        <w:tc>
          <w:tcPr>
            <w:tcW w:w="1443" w:type="dxa"/>
          </w:tcPr>
          <w:p w14:paraId="6CFEBCD8" w14:textId="77777777" w:rsidR="00DD7C03" w:rsidRPr="006A4ACA" w:rsidRDefault="00DD7C03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1250" w:type="dxa"/>
          </w:tcPr>
          <w:p w14:paraId="039FA102" w14:textId="0857AA2B" w:rsidR="00DD7C03" w:rsidRPr="006A4ACA" w:rsidRDefault="005C4B3A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202</w:t>
            </w:r>
            <w:r w:rsidR="00B17FF1" w:rsidRPr="006A4ACA">
              <w:rPr>
                <w:rFonts w:cstheme="minorHAnsi"/>
              </w:rPr>
              <w:t>1</w:t>
            </w:r>
          </w:p>
        </w:tc>
        <w:tc>
          <w:tcPr>
            <w:tcW w:w="2659" w:type="dxa"/>
          </w:tcPr>
          <w:p w14:paraId="1DF08AFE" w14:textId="4328AE7F" w:rsidR="00DD7C03" w:rsidRPr="006A4ACA" w:rsidRDefault="00B17FF1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>Zie actielijn 3.</w:t>
            </w:r>
            <w:r w:rsidR="00D00BDF" w:rsidRPr="006A4ACA">
              <w:rPr>
                <w:rFonts w:cstheme="minorHAnsi"/>
              </w:rPr>
              <w:t xml:space="preserve"> </w:t>
            </w:r>
            <w:r w:rsidR="00AF5947" w:rsidRPr="006A4ACA">
              <w:rPr>
                <w:rFonts w:cstheme="minorHAnsi"/>
              </w:rPr>
              <w:t>Korte e-depotpilots zouden met gratis software van de leveranciers kunne</w:t>
            </w:r>
            <w:r w:rsidR="00C87F8E" w:rsidRPr="006A4ACA">
              <w:rPr>
                <w:rFonts w:cstheme="minorHAnsi"/>
              </w:rPr>
              <w:t>n</w:t>
            </w:r>
            <w:r w:rsidR="00AF5947" w:rsidRPr="006A4ACA">
              <w:rPr>
                <w:rFonts w:cstheme="minorHAnsi"/>
              </w:rPr>
              <w:t xml:space="preserve"> worden uitgevoerd.</w:t>
            </w:r>
          </w:p>
        </w:tc>
      </w:tr>
      <w:tr w:rsidR="0076768F" w:rsidRPr="006A4ACA" w14:paraId="6691C885" w14:textId="77777777" w:rsidTr="00E569E6">
        <w:tc>
          <w:tcPr>
            <w:tcW w:w="2518" w:type="dxa"/>
          </w:tcPr>
          <w:p w14:paraId="147E5A96" w14:textId="7AA7D9FC" w:rsidR="00DD7C03" w:rsidRPr="006A4ACA" w:rsidRDefault="00492479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Implementeren </w:t>
            </w:r>
            <w:r w:rsidR="006263FE" w:rsidRPr="006A4ACA">
              <w:rPr>
                <w:rFonts w:cstheme="minorHAnsi"/>
              </w:rPr>
              <w:t xml:space="preserve">en beheren </w:t>
            </w:r>
            <w:r w:rsidR="001F074C" w:rsidRPr="006A4ACA">
              <w:rPr>
                <w:rFonts w:cstheme="minorHAnsi"/>
              </w:rPr>
              <w:t xml:space="preserve">van de software voor </w:t>
            </w:r>
            <w:r w:rsidR="006263FE" w:rsidRPr="006A4ACA">
              <w:rPr>
                <w:rFonts w:cstheme="minorHAnsi"/>
              </w:rPr>
              <w:t>een</w:t>
            </w:r>
            <w:r w:rsidRPr="006A4ACA">
              <w:rPr>
                <w:rFonts w:cstheme="minorHAnsi"/>
              </w:rPr>
              <w:t xml:space="preserve"> </w:t>
            </w:r>
            <w:r w:rsidR="006263FE" w:rsidRPr="006A4ACA">
              <w:rPr>
                <w:rFonts w:cstheme="minorHAnsi"/>
              </w:rPr>
              <w:t xml:space="preserve">gezamenlijk </w:t>
            </w:r>
            <w:r w:rsidRPr="006A4ACA">
              <w:rPr>
                <w:rFonts w:cstheme="minorHAnsi"/>
              </w:rPr>
              <w:t>e-depot</w:t>
            </w:r>
            <w:r w:rsidR="00AE7C60" w:rsidRPr="006A4ACA">
              <w:rPr>
                <w:rFonts w:cstheme="minorHAnsi"/>
              </w:rPr>
              <w:t xml:space="preserve"> </w:t>
            </w:r>
          </w:p>
        </w:tc>
        <w:tc>
          <w:tcPr>
            <w:tcW w:w="1418" w:type="dxa"/>
          </w:tcPr>
          <w:p w14:paraId="4E65F2ED" w14:textId="7562395B" w:rsidR="00DD7C03" w:rsidRPr="006A4ACA" w:rsidRDefault="003F4515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€ </w:t>
            </w:r>
            <w:r w:rsidR="00B544A2" w:rsidRPr="006A4ACA">
              <w:rPr>
                <w:rFonts w:cstheme="minorHAnsi"/>
              </w:rPr>
              <w:t>66.700</w:t>
            </w:r>
          </w:p>
        </w:tc>
        <w:tc>
          <w:tcPr>
            <w:tcW w:w="1443" w:type="dxa"/>
          </w:tcPr>
          <w:p w14:paraId="38253E0C" w14:textId="5B8B58CA" w:rsidR="00DD7C03" w:rsidRPr="006A4ACA" w:rsidRDefault="006263FE" w:rsidP="00B544A2">
            <w:r w:rsidRPr="006A4ACA">
              <w:t>€ 1</w:t>
            </w:r>
            <w:r w:rsidR="00B544A2" w:rsidRPr="006A4ACA">
              <w:t>5.250</w:t>
            </w:r>
            <w:r w:rsidRPr="006A4ACA">
              <w:t xml:space="preserve"> vanaf 2023 en PM</w:t>
            </w:r>
            <w:r w:rsidR="00452860" w:rsidRPr="006A4ACA">
              <w:t xml:space="preserve"> voor de opslag</w:t>
            </w:r>
          </w:p>
        </w:tc>
        <w:tc>
          <w:tcPr>
            <w:tcW w:w="1250" w:type="dxa"/>
          </w:tcPr>
          <w:p w14:paraId="07CA24EF" w14:textId="2ABDE9F9" w:rsidR="00DD7C03" w:rsidRPr="006A4ACA" w:rsidRDefault="00492479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2022</w:t>
            </w:r>
          </w:p>
        </w:tc>
        <w:tc>
          <w:tcPr>
            <w:tcW w:w="2659" w:type="dxa"/>
          </w:tcPr>
          <w:p w14:paraId="70F79EBE" w14:textId="52BE9564" w:rsidR="00DD7C03" w:rsidRPr="006A4ACA" w:rsidRDefault="00B17FF1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Op basis van </w:t>
            </w:r>
            <w:r w:rsidR="00F52BD5" w:rsidRPr="006A4ACA">
              <w:rPr>
                <w:rFonts w:cstheme="minorHAnsi"/>
              </w:rPr>
              <w:t xml:space="preserve">zeer </w:t>
            </w:r>
            <w:r w:rsidR="001F074C" w:rsidRPr="006A4ACA">
              <w:rPr>
                <w:rFonts w:cstheme="minorHAnsi"/>
              </w:rPr>
              <w:t xml:space="preserve">globale </w:t>
            </w:r>
            <w:r w:rsidRPr="006A4ACA">
              <w:rPr>
                <w:rFonts w:cstheme="minorHAnsi"/>
              </w:rPr>
              <w:t xml:space="preserve">informatie van </w:t>
            </w:r>
            <w:r w:rsidR="00E569E6" w:rsidRPr="006A4ACA">
              <w:rPr>
                <w:rFonts w:cstheme="minorHAnsi"/>
              </w:rPr>
              <w:t xml:space="preserve">twee mogelijke leveranciers: </w:t>
            </w:r>
            <w:r w:rsidRPr="006A4ACA">
              <w:rPr>
                <w:rFonts w:cstheme="minorHAnsi"/>
              </w:rPr>
              <w:t>De Ree</w:t>
            </w:r>
            <w:r w:rsidR="003F4515" w:rsidRPr="006A4ACA">
              <w:rPr>
                <w:rFonts w:cstheme="minorHAnsi"/>
              </w:rPr>
              <w:t xml:space="preserve"> d.d. 23-11-2018 </w:t>
            </w:r>
            <w:r w:rsidR="004D24F6" w:rsidRPr="006A4ACA">
              <w:rPr>
                <w:rFonts w:cstheme="minorHAnsi"/>
              </w:rPr>
              <w:t>en</w:t>
            </w:r>
            <w:r w:rsidR="00E569E6" w:rsidRPr="006A4ACA">
              <w:rPr>
                <w:rFonts w:cstheme="minorHAnsi"/>
              </w:rPr>
              <w:t xml:space="preserve"> </w:t>
            </w:r>
            <w:proofErr w:type="spellStart"/>
            <w:r w:rsidR="004D24F6" w:rsidRPr="006A4ACA">
              <w:rPr>
                <w:rFonts w:cstheme="minorHAnsi"/>
              </w:rPr>
              <w:t>Divau</w:t>
            </w:r>
            <w:r w:rsidR="00596683" w:rsidRPr="006A4ACA">
              <w:rPr>
                <w:rFonts w:cstheme="minorHAnsi"/>
              </w:rPr>
              <w:t>lt</w:t>
            </w:r>
            <w:proofErr w:type="spellEnd"/>
            <w:r w:rsidR="00596683" w:rsidRPr="006A4ACA">
              <w:rPr>
                <w:rFonts w:cstheme="minorHAnsi"/>
              </w:rPr>
              <w:t xml:space="preserve"> d.d. 5-</w:t>
            </w:r>
            <w:r w:rsidR="001F074C" w:rsidRPr="006A4ACA">
              <w:rPr>
                <w:rFonts w:cstheme="minorHAnsi"/>
              </w:rPr>
              <w:t>12</w:t>
            </w:r>
            <w:r w:rsidR="00596683" w:rsidRPr="006A4ACA">
              <w:rPr>
                <w:rFonts w:cstheme="minorHAnsi"/>
              </w:rPr>
              <w:t>-2018</w:t>
            </w:r>
            <w:r w:rsidR="00DE7C03" w:rsidRPr="006A4ACA">
              <w:rPr>
                <w:rFonts w:cstheme="minorHAnsi"/>
              </w:rPr>
              <w:t>.</w:t>
            </w:r>
            <w:r w:rsidR="006263FE" w:rsidRPr="006A4ACA">
              <w:rPr>
                <w:rFonts w:cstheme="minorHAnsi"/>
              </w:rPr>
              <w:t xml:space="preserve"> Uitgegaan wordt van implementatie in 2022</w:t>
            </w:r>
            <w:r w:rsidR="00B544A2" w:rsidRPr="006A4ACA">
              <w:rPr>
                <w:rFonts w:cstheme="minorHAnsi"/>
              </w:rPr>
              <w:t>.</w:t>
            </w:r>
            <w:r w:rsidR="006263FE" w:rsidRPr="006A4ACA">
              <w:rPr>
                <w:rFonts w:cstheme="minorHAnsi"/>
              </w:rPr>
              <w:t xml:space="preserve"> De beheerskosten zijn exclusief de jaarlijkse opslagkosten.</w:t>
            </w:r>
          </w:p>
        </w:tc>
      </w:tr>
      <w:tr w:rsidR="0076768F" w:rsidRPr="006A4ACA" w14:paraId="7774828A" w14:textId="77777777" w:rsidTr="00E569E6">
        <w:tc>
          <w:tcPr>
            <w:tcW w:w="2518" w:type="dxa"/>
          </w:tcPr>
          <w:p w14:paraId="1F48F341" w14:textId="77777777" w:rsidR="00F00CD9" w:rsidRPr="006A4ACA" w:rsidRDefault="00F00CD9" w:rsidP="00F00CD9">
            <w:pPr>
              <w:pStyle w:val="Kop2"/>
              <w:outlineLvl w:val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C68CEF" w14:textId="61D0B8A8" w:rsidR="00DD7C03" w:rsidRPr="006A4ACA" w:rsidRDefault="00F00CD9" w:rsidP="00F00CD9">
            <w:pPr>
              <w:pStyle w:val="Kop2"/>
              <w:outlineLvl w:val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A4ACA">
              <w:rPr>
                <w:rFonts w:asciiTheme="minorHAnsi" w:hAnsiTheme="minorHAnsi" w:cstheme="minorHAnsi"/>
                <w:b/>
                <w:sz w:val="22"/>
                <w:szCs w:val="22"/>
              </w:rPr>
              <w:t>Extra:</w:t>
            </w:r>
          </w:p>
        </w:tc>
        <w:tc>
          <w:tcPr>
            <w:tcW w:w="1418" w:type="dxa"/>
          </w:tcPr>
          <w:p w14:paraId="39194E8B" w14:textId="77777777" w:rsidR="00DD7C03" w:rsidRPr="006A4ACA" w:rsidRDefault="00DD7C03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1443" w:type="dxa"/>
          </w:tcPr>
          <w:p w14:paraId="1AE6FA4D" w14:textId="77777777" w:rsidR="00DD7C03" w:rsidRPr="006A4ACA" w:rsidRDefault="00DD7C03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1250" w:type="dxa"/>
          </w:tcPr>
          <w:p w14:paraId="2A1D1140" w14:textId="77777777" w:rsidR="00DD7C03" w:rsidRPr="006A4ACA" w:rsidRDefault="00DD7C03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2659" w:type="dxa"/>
          </w:tcPr>
          <w:p w14:paraId="382B7D59" w14:textId="77777777" w:rsidR="00DD7C03" w:rsidRPr="006A4ACA" w:rsidRDefault="00DD7C03" w:rsidP="00DD7C03">
            <w:pPr>
              <w:rPr>
                <w:rFonts w:cstheme="minorHAnsi"/>
              </w:rPr>
            </w:pPr>
          </w:p>
        </w:tc>
      </w:tr>
      <w:tr w:rsidR="0076768F" w:rsidRPr="006A4ACA" w14:paraId="1AFCCE96" w14:textId="77777777" w:rsidTr="00E569E6">
        <w:tc>
          <w:tcPr>
            <w:tcW w:w="2518" w:type="dxa"/>
          </w:tcPr>
          <w:p w14:paraId="37475350" w14:textId="4EC27D6C" w:rsidR="00DD7C03" w:rsidRPr="006A4ACA" w:rsidRDefault="00A015AF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Kosten </w:t>
            </w:r>
            <w:r w:rsidR="00CA7AB6" w:rsidRPr="006A4ACA">
              <w:rPr>
                <w:rFonts w:cstheme="minorHAnsi"/>
              </w:rPr>
              <w:t xml:space="preserve">voor </w:t>
            </w:r>
            <w:proofErr w:type="spellStart"/>
            <w:r w:rsidR="00CA7AB6" w:rsidRPr="006A4ACA">
              <w:rPr>
                <w:rFonts w:cstheme="minorHAnsi"/>
              </w:rPr>
              <w:t>c</w:t>
            </w:r>
            <w:r w:rsidR="00492479" w:rsidRPr="006A4ACA">
              <w:rPr>
                <w:rFonts w:cstheme="minorHAnsi"/>
              </w:rPr>
              <w:t>rowdsourcingprojecten</w:t>
            </w:r>
            <w:proofErr w:type="spellEnd"/>
          </w:p>
        </w:tc>
        <w:tc>
          <w:tcPr>
            <w:tcW w:w="1418" w:type="dxa"/>
          </w:tcPr>
          <w:p w14:paraId="46540206" w14:textId="0EE40C6F" w:rsidR="00DD7C03" w:rsidRPr="006A4ACA" w:rsidRDefault="00C15EF0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PM</w:t>
            </w:r>
          </w:p>
        </w:tc>
        <w:tc>
          <w:tcPr>
            <w:tcW w:w="1443" w:type="dxa"/>
          </w:tcPr>
          <w:p w14:paraId="1FDE717B" w14:textId="4D1FC623" w:rsidR="00DD7C03" w:rsidRPr="006A4ACA" w:rsidRDefault="002B614D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PM</w:t>
            </w:r>
          </w:p>
        </w:tc>
        <w:tc>
          <w:tcPr>
            <w:tcW w:w="1250" w:type="dxa"/>
          </w:tcPr>
          <w:p w14:paraId="33B4323C" w14:textId="00698972" w:rsidR="00DD7C03" w:rsidRPr="006A4ACA" w:rsidRDefault="00243520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Vanaf 2021</w:t>
            </w:r>
          </w:p>
        </w:tc>
        <w:tc>
          <w:tcPr>
            <w:tcW w:w="2659" w:type="dxa"/>
          </w:tcPr>
          <w:p w14:paraId="22F7E444" w14:textId="63F7A2D0" w:rsidR="00DD7C03" w:rsidRPr="006A4ACA" w:rsidRDefault="00492479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>Zie actielijn</w:t>
            </w:r>
            <w:r w:rsidR="007531F4" w:rsidRPr="006A4ACA">
              <w:rPr>
                <w:rFonts w:cstheme="minorHAnsi"/>
              </w:rPr>
              <w:t xml:space="preserve"> 9</w:t>
            </w:r>
            <w:r w:rsidR="00130E0E" w:rsidRPr="006A4ACA">
              <w:rPr>
                <w:rFonts w:cstheme="minorHAnsi"/>
              </w:rPr>
              <w:t>; samen met de Vriendenstichting</w:t>
            </w:r>
            <w:r w:rsidR="00B17FF1" w:rsidRPr="006A4ACA">
              <w:rPr>
                <w:rFonts w:cstheme="minorHAnsi"/>
              </w:rPr>
              <w:t xml:space="preserve"> / </w:t>
            </w:r>
            <w:r w:rsidR="00130E0E" w:rsidRPr="006A4ACA">
              <w:rPr>
                <w:rFonts w:cstheme="minorHAnsi"/>
              </w:rPr>
              <w:t>te onderzoeken</w:t>
            </w:r>
            <w:r w:rsidR="007531F4" w:rsidRPr="006A4ACA">
              <w:rPr>
                <w:rFonts w:cstheme="minorHAnsi"/>
              </w:rPr>
              <w:t>.</w:t>
            </w:r>
          </w:p>
        </w:tc>
      </w:tr>
      <w:tr w:rsidR="0076768F" w:rsidRPr="006A4ACA" w14:paraId="3D48D2EC" w14:textId="77777777" w:rsidTr="00E569E6">
        <w:tc>
          <w:tcPr>
            <w:tcW w:w="2518" w:type="dxa"/>
          </w:tcPr>
          <w:p w14:paraId="6F8E07B6" w14:textId="7FCA2E7B" w:rsidR="00DD7C03" w:rsidRPr="006A4ACA" w:rsidRDefault="00A015AF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Kosten </w:t>
            </w:r>
            <w:r w:rsidR="00CA7AB6" w:rsidRPr="006A4ACA">
              <w:rPr>
                <w:rFonts w:cstheme="minorHAnsi"/>
              </w:rPr>
              <w:t>voor p</w:t>
            </w:r>
            <w:r w:rsidR="00492479" w:rsidRPr="006A4ACA">
              <w:rPr>
                <w:rFonts w:cstheme="minorHAnsi"/>
              </w:rPr>
              <w:t>ublieksterminals bibliotheken</w:t>
            </w:r>
          </w:p>
        </w:tc>
        <w:tc>
          <w:tcPr>
            <w:tcW w:w="1418" w:type="dxa"/>
          </w:tcPr>
          <w:p w14:paraId="36CACC4D" w14:textId="209C35C3" w:rsidR="00DD7C03" w:rsidRPr="006A4ACA" w:rsidRDefault="00A015AF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PM</w:t>
            </w:r>
          </w:p>
        </w:tc>
        <w:tc>
          <w:tcPr>
            <w:tcW w:w="1443" w:type="dxa"/>
          </w:tcPr>
          <w:p w14:paraId="1D0C7121" w14:textId="5FD22B52" w:rsidR="00DD7C03" w:rsidRPr="006A4ACA" w:rsidRDefault="002B614D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PM</w:t>
            </w:r>
          </w:p>
        </w:tc>
        <w:tc>
          <w:tcPr>
            <w:tcW w:w="1250" w:type="dxa"/>
          </w:tcPr>
          <w:p w14:paraId="015CB996" w14:textId="45BAE17A" w:rsidR="00DD7C03" w:rsidRPr="006A4ACA" w:rsidRDefault="00492479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Vanaf 2020</w:t>
            </w:r>
          </w:p>
        </w:tc>
        <w:tc>
          <w:tcPr>
            <w:tcW w:w="2659" w:type="dxa"/>
          </w:tcPr>
          <w:p w14:paraId="5D48649D" w14:textId="3114DF49" w:rsidR="00DD7C03" w:rsidRPr="006A4ACA" w:rsidRDefault="00492479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>Zie actielijn 6: te onderzoeken</w:t>
            </w:r>
            <w:r w:rsidR="007531F4" w:rsidRPr="006A4ACA">
              <w:rPr>
                <w:rFonts w:cstheme="minorHAnsi"/>
              </w:rPr>
              <w:t xml:space="preserve"> in 2019.</w:t>
            </w:r>
          </w:p>
        </w:tc>
      </w:tr>
      <w:tr w:rsidR="0076768F" w:rsidRPr="006A4ACA" w14:paraId="43E48C9D" w14:textId="77777777" w:rsidTr="00E569E6">
        <w:tc>
          <w:tcPr>
            <w:tcW w:w="2518" w:type="dxa"/>
          </w:tcPr>
          <w:p w14:paraId="2DD07EA7" w14:textId="29366F20" w:rsidR="00DD7C03" w:rsidRPr="006A4ACA" w:rsidRDefault="007531F4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Inkomsten uit </w:t>
            </w:r>
            <w:proofErr w:type="spellStart"/>
            <w:r w:rsidRPr="006A4ACA">
              <w:rPr>
                <w:rFonts w:cstheme="minorHAnsi"/>
              </w:rPr>
              <w:t>DVO’s</w:t>
            </w:r>
            <w:proofErr w:type="spellEnd"/>
            <w:r w:rsidRPr="006A4ACA">
              <w:rPr>
                <w:rFonts w:cstheme="minorHAnsi"/>
              </w:rPr>
              <w:t xml:space="preserve"> met twee gemeenschappelijke regelingen </w:t>
            </w:r>
          </w:p>
        </w:tc>
        <w:tc>
          <w:tcPr>
            <w:tcW w:w="1418" w:type="dxa"/>
          </w:tcPr>
          <w:p w14:paraId="32979B1E" w14:textId="42EBC242" w:rsidR="00DD7C03" w:rsidRPr="006A4ACA" w:rsidRDefault="00DD7C03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1443" w:type="dxa"/>
          </w:tcPr>
          <w:p w14:paraId="7D26AE8D" w14:textId="2DBEF82C" w:rsidR="00DD7C03" w:rsidRPr="006A4ACA" w:rsidRDefault="002B614D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PM</w:t>
            </w:r>
          </w:p>
        </w:tc>
        <w:tc>
          <w:tcPr>
            <w:tcW w:w="1250" w:type="dxa"/>
          </w:tcPr>
          <w:p w14:paraId="50036390" w14:textId="7BD8EBAE" w:rsidR="00DD7C03" w:rsidRPr="006A4ACA" w:rsidRDefault="007531F4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Vanaf 2020</w:t>
            </w:r>
          </w:p>
        </w:tc>
        <w:tc>
          <w:tcPr>
            <w:tcW w:w="2659" w:type="dxa"/>
          </w:tcPr>
          <w:p w14:paraId="2D0F6D65" w14:textId="2BC2E67E" w:rsidR="00DD7C03" w:rsidRPr="006A4ACA" w:rsidRDefault="007531F4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Zie actielijn </w:t>
            </w:r>
            <w:r w:rsidR="00CA7AB6" w:rsidRPr="006A4ACA">
              <w:rPr>
                <w:rFonts w:cstheme="minorHAnsi"/>
              </w:rPr>
              <w:t>17.</w:t>
            </w:r>
          </w:p>
        </w:tc>
      </w:tr>
      <w:tr w:rsidR="0076768F" w:rsidRPr="006A4ACA" w14:paraId="5FA6D025" w14:textId="77777777" w:rsidTr="00E569E6">
        <w:tc>
          <w:tcPr>
            <w:tcW w:w="2518" w:type="dxa"/>
          </w:tcPr>
          <w:p w14:paraId="31F34378" w14:textId="405740CD" w:rsidR="00DD7C03" w:rsidRPr="006A4ACA" w:rsidRDefault="00A015AF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>Inkomsten uit u</w:t>
            </w:r>
            <w:r w:rsidR="00130E0E" w:rsidRPr="006A4ACA">
              <w:rPr>
                <w:rFonts w:cstheme="minorHAnsi"/>
              </w:rPr>
              <w:t>itplaatsing en vervroegde overbrenging</w:t>
            </w:r>
          </w:p>
        </w:tc>
        <w:tc>
          <w:tcPr>
            <w:tcW w:w="1418" w:type="dxa"/>
          </w:tcPr>
          <w:p w14:paraId="5C7023AA" w14:textId="57915EB3" w:rsidR="00DD7C03" w:rsidRPr="006A4ACA" w:rsidRDefault="00DD7C03" w:rsidP="00800E0C">
            <w:pPr>
              <w:jc w:val="center"/>
              <w:rPr>
                <w:rFonts w:cstheme="minorHAnsi"/>
              </w:rPr>
            </w:pPr>
          </w:p>
        </w:tc>
        <w:tc>
          <w:tcPr>
            <w:tcW w:w="1443" w:type="dxa"/>
          </w:tcPr>
          <w:p w14:paraId="55151F20" w14:textId="28457072" w:rsidR="00DD7C03" w:rsidRPr="006A4ACA" w:rsidRDefault="002B614D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PM</w:t>
            </w:r>
          </w:p>
        </w:tc>
        <w:tc>
          <w:tcPr>
            <w:tcW w:w="1250" w:type="dxa"/>
          </w:tcPr>
          <w:p w14:paraId="2657FDD2" w14:textId="0915677F" w:rsidR="00DD7C03" w:rsidRPr="006A4ACA" w:rsidRDefault="00962006" w:rsidP="00800E0C">
            <w:pPr>
              <w:jc w:val="center"/>
              <w:rPr>
                <w:rFonts w:cstheme="minorHAnsi"/>
              </w:rPr>
            </w:pPr>
            <w:r w:rsidRPr="006A4ACA">
              <w:rPr>
                <w:rFonts w:cstheme="minorHAnsi"/>
              </w:rPr>
              <w:t>2019-202</w:t>
            </w:r>
            <w:r w:rsidR="00CA7AB6" w:rsidRPr="006A4ACA">
              <w:rPr>
                <w:rFonts w:cstheme="minorHAnsi"/>
              </w:rPr>
              <w:t>2</w:t>
            </w:r>
          </w:p>
        </w:tc>
        <w:tc>
          <w:tcPr>
            <w:tcW w:w="2659" w:type="dxa"/>
          </w:tcPr>
          <w:p w14:paraId="18B12A0C" w14:textId="4C7498B0" w:rsidR="00DD7C03" w:rsidRPr="006A4ACA" w:rsidRDefault="00962006" w:rsidP="00DD7C03">
            <w:pPr>
              <w:rPr>
                <w:rFonts w:cstheme="minorHAnsi"/>
              </w:rPr>
            </w:pPr>
            <w:r w:rsidRPr="006A4ACA">
              <w:rPr>
                <w:rFonts w:cstheme="minorHAnsi"/>
              </w:rPr>
              <w:t xml:space="preserve">Zie actielijn </w:t>
            </w:r>
            <w:r w:rsidR="00CA7AB6" w:rsidRPr="006A4ACA">
              <w:rPr>
                <w:rFonts w:cstheme="minorHAnsi"/>
              </w:rPr>
              <w:t>4.</w:t>
            </w:r>
            <w:r w:rsidR="001022F6" w:rsidRPr="006A4ACA">
              <w:rPr>
                <w:rFonts w:cstheme="minorHAnsi"/>
              </w:rPr>
              <w:t xml:space="preserve"> </w:t>
            </w:r>
            <w:r w:rsidR="00E569E6" w:rsidRPr="006A4ACA">
              <w:rPr>
                <w:rFonts w:cstheme="minorHAnsi"/>
              </w:rPr>
              <w:t xml:space="preserve">De GR voorziet niet in deze diensten. Gemeenten die deze ‘plusdiensten’ willen afnemen zullen dat op contractbasis moeten doen. Het bestuur zal daarvoor een reële prijs dienen vast te stellen. </w:t>
            </w:r>
          </w:p>
        </w:tc>
      </w:tr>
    </w:tbl>
    <w:p w14:paraId="5F857614" w14:textId="24903DD8" w:rsidR="00574AF7" w:rsidRDefault="00574AF7">
      <w:pPr>
        <w:rPr>
          <w:sz w:val="28"/>
          <w:szCs w:val="28"/>
        </w:rPr>
      </w:pPr>
    </w:p>
    <w:p w14:paraId="4CA15DB6" w14:textId="77777777" w:rsidR="00574AF7" w:rsidRDefault="00574AF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E24BAC5" w14:textId="7351E139" w:rsidR="00AD328C" w:rsidRPr="00B83B95" w:rsidRDefault="00AA415F" w:rsidP="005648B2">
      <w:pPr>
        <w:pStyle w:val="Kop2"/>
        <w:numPr>
          <w:ilvl w:val="0"/>
          <w:numId w:val="1"/>
        </w:numPr>
        <w:rPr>
          <w:sz w:val="28"/>
          <w:szCs w:val="28"/>
        </w:rPr>
      </w:pPr>
      <w:r w:rsidRPr="00B83B95">
        <w:rPr>
          <w:sz w:val="28"/>
          <w:szCs w:val="28"/>
        </w:rPr>
        <w:t>Globale begroting</w:t>
      </w:r>
      <w:r w:rsidR="00AD328C" w:rsidRPr="00B83B95">
        <w:rPr>
          <w:sz w:val="28"/>
          <w:szCs w:val="28"/>
        </w:rPr>
        <w:t xml:space="preserve"> van de </w:t>
      </w:r>
      <w:r w:rsidRPr="00B83B95">
        <w:rPr>
          <w:sz w:val="28"/>
          <w:szCs w:val="28"/>
        </w:rPr>
        <w:t>(</w:t>
      </w:r>
      <w:r w:rsidR="00AD328C" w:rsidRPr="00B83B95">
        <w:rPr>
          <w:sz w:val="28"/>
          <w:szCs w:val="28"/>
        </w:rPr>
        <w:t>extra</w:t>
      </w:r>
      <w:r w:rsidRPr="00B83B95">
        <w:rPr>
          <w:sz w:val="28"/>
          <w:szCs w:val="28"/>
        </w:rPr>
        <w:t>)</w:t>
      </w:r>
      <w:r w:rsidR="00AD328C" w:rsidRPr="00B83B95">
        <w:rPr>
          <w:sz w:val="28"/>
          <w:szCs w:val="28"/>
        </w:rPr>
        <w:t xml:space="preserve"> gemeentelijke bijdragen vanaf 2019 als gevolg van het nieuwe beleid</w:t>
      </w:r>
      <w:r w:rsidR="000D5366" w:rsidRPr="00B83B95">
        <w:rPr>
          <w:sz w:val="28"/>
          <w:szCs w:val="28"/>
        </w:rPr>
        <w:t xml:space="preserve">, </w:t>
      </w:r>
      <w:r w:rsidR="000D5366" w:rsidRPr="00B83B95">
        <w:rPr>
          <w:sz w:val="28"/>
          <w:szCs w:val="28"/>
          <w:u w:val="single"/>
        </w:rPr>
        <w:t xml:space="preserve">zonder </w:t>
      </w:r>
      <w:r w:rsidR="00C74C8E" w:rsidRPr="00B83B95">
        <w:rPr>
          <w:sz w:val="28"/>
          <w:szCs w:val="28"/>
          <w:u w:val="single"/>
        </w:rPr>
        <w:t xml:space="preserve">rekening te houden met </w:t>
      </w:r>
      <w:r w:rsidR="006A2727" w:rsidRPr="00B83B95">
        <w:rPr>
          <w:sz w:val="28"/>
          <w:szCs w:val="28"/>
          <w:u w:val="single"/>
        </w:rPr>
        <w:t>Vijfheerenlanden</w:t>
      </w:r>
    </w:p>
    <w:p w14:paraId="610AB515" w14:textId="77777777" w:rsidR="006A2727" w:rsidRPr="00B83B95" w:rsidRDefault="006A2727" w:rsidP="006A2727">
      <w:pPr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98"/>
        <w:gridCol w:w="1961"/>
        <w:gridCol w:w="1002"/>
        <w:gridCol w:w="743"/>
        <w:gridCol w:w="743"/>
        <w:gridCol w:w="743"/>
        <w:gridCol w:w="743"/>
        <w:gridCol w:w="743"/>
        <w:gridCol w:w="743"/>
        <w:gridCol w:w="743"/>
      </w:tblGrid>
      <w:tr w:rsidR="00AA415F" w:rsidRPr="004D0200" w14:paraId="795EB9BB" w14:textId="77777777" w:rsidTr="00A82285">
        <w:tc>
          <w:tcPr>
            <w:tcW w:w="0" w:type="auto"/>
          </w:tcPr>
          <w:p w14:paraId="509B03D7" w14:textId="6D7284DC" w:rsidR="00AA415F" w:rsidRPr="004D0200" w:rsidRDefault="00AA415F" w:rsidP="00CD5A49">
            <w:pPr>
              <w:pStyle w:val="Kop2"/>
              <w:outlineLvl w:val="1"/>
              <w:rPr>
                <w:sz w:val="16"/>
                <w:szCs w:val="16"/>
              </w:rPr>
            </w:pPr>
            <w:r w:rsidRPr="004D0200">
              <w:rPr>
                <w:sz w:val="16"/>
                <w:szCs w:val="16"/>
              </w:rPr>
              <w:t>Gemeente</w:t>
            </w:r>
          </w:p>
        </w:tc>
        <w:tc>
          <w:tcPr>
            <w:tcW w:w="2127" w:type="dxa"/>
          </w:tcPr>
          <w:p w14:paraId="65EF4112" w14:textId="73EC60FC" w:rsidR="00AA415F" w:rsidRPr="004D0200" w:rsidRDefault="00DB5AF6" w:rsidP="00CD5A49">
            <w:pPr>
              <w:pStyle w:val="Kop2"/>
              <w:outlineLvl w:val="1"/>
              <w:rPr>
                <w:sz w:val="16"/>
                <w:szCs w:val="16"/>
              </w:rPr>
            </w:pPr>
            <w:r w:rsidRPr="004D0200">
              <w:rPr>
                <w:sz w:val="16"/>
                <w:szCs w:val="16"/>
              </w:rPr>
              <w:t xml:space="preserve">Bijdrage </w:t>
            </w:r>
            <w:r w:rsidR="00A82285" w:rsidRPr="004D0200">
              <w:rPr>
                <w:sz w:val="16"/>
                <w:szCs w:val="16"/>
              </w:rPr>
              <w:t xml:space="preserve">in </w:t>
            </w:r>
            <w:r w:rsidRPr="004D0200">
              <w:rPr>
                <w:sz w:val="16"/>
                <w:szCs w:val="16"/>
              </w:rPr>
              <w:t>2019</w:t>
            </w:r>
          </w:p>
        </w:tc>
        <w:tc>
          <w:tcPr>
            <w:tcW w:w="1049" w:type="dxa"/>
          </w:tcPr>
          <w:p w14:paraId="26A033F2" w14:textId="704689A4" w:rsidR="00AA415F" w:rsidRPr="004D0200" w:rsidRDefault="00CD5A49" w:rsidP="00CD5A49">
            <w:pPr>
              <w:pStyle w:val="Kop2"/>
              <w:outlineLvl w:val="1"/>
              <w:rPr>
                <w:sz w:val="16"/>
                <w:szCs w:val="16"/>
              </w:rPr>
            </w:pPr>
            <w:r w:rsidRPr="004D0200">
              <w:rPr>
                <w:sz w:val="16"/>
                <w:szCs w:val="16"/>
              </w:rPr>
              <w:t xml:space="preserve">Extra </w:t>
            </w:r>
            <w:r w:rsidR="00AA415F" w:rsidRPr="004D0200">
              <w:rPr>
                <w:sz w:val="16"/>
                <w:szCs w:val="16"/>
              </w:rPr>
              <w:t>2019</w:t>
            </w:r>
          </w:p>
        </w:tc>
        <w:tc>
          <w:tcPr>
            <w:tcW w:w="0" w:type="auto"/>
          </w:tcPr>
          <w:p w14:paraId="6AF58DAC" w14:textId="73FEC9BF" w:rsidR="00AA415F" w:rsidRPr="004D0200" w:rsidRDefault="00CD5A49" w:rsidP="00CD5A49">
            <w:pPr>
              <w:pStyle w:val="Kop2"/>
              <w:outlineLvl w:val="1"/>
              <w:rPr>
                <w:sz w:val="16"/>
                <w:szCs w:val="16"/>
              </w:rPr>
            </w:pPr>
            <w:r w:rsidRPr="004D0200">
              <w:rPr>
                <w:sz w:val="16"/>
                <w:szCs w:val="16"/>
              </w:rPr>
              <w:t>Extra 2020</w:t>
            </w:r>
          </w:p>
        </w:tc>
        <w:tc>
          <w:tcPr>
            <w:tcW w:w="0" w:type="auto"/>
          </w:tcPr>
          <w:p w14:paraId="6948F99E" w14:textId="48DFAAFE" w:rsidR="00AA415F" w:rsidRPr="004D0200" w:rsidRDefault="00CD5A49" w:rsidP="00CD5A49">
            <w:pPr>
              <w:pStyle w:val="Kop2"/>
              <w:outlineLvl w:val="1"/>
              <w:rPr>
                <w:sz w:val="16"/>
                <w:szCs w:val="16"/>
              </w:rPr>
            </w:pPr>
            <w:r w:rsidRPr="004D0200">
              <w:rPr>
                <w:sz w:val="16"/>
                <w:szCs w:val="16"/>
              </w:rPr>
              <w:t>Extra 2021</w:t>
            </w:r>
          </w:p>
        </w:tc>
        <w:tc>
          <w:tcPr>
            <w:tcW w:w="0" w:type="auto"/>
          </w:tcPr>
          <w:p w14:paraId="2F9CFF3C" w14:textId="3D2271AB" w:rsidR="00AA415F" w:rsidRPr="004D0200" w:rsidRDefault="00CD5A49" w:rsidP="00CD5A49">
            <w:pPr>
              <w:pStyle w:val="Kop2"/>
              <w:outlineLvl w:val="1"/>
              <w:rPr>
                <w:sz w:val="16"/>
                <w:szCs w:val="16"/>
              </w:rPr>
            </w:pPr>
            <w:r w:rsidRPr="004D0200">
              <w:rPr>
                <w:sz w:val="16"/>
                <w:szCs w:val="16"/>
              </w:rPr>
              <w:t>Extra 2022</w:t>
            </w:r>
          </w:p>
        </w:tc>
        <w:tc>
          <w:tcPr>
            <w:tcW w:w="0" w:type="auto"/>
          </w:tcPr>
          <w:p w14:paraId="34F87CA9" w14:textId="65CFC358" w:rsidR="00AA415F" w:rsidRPr="004D0200" w:rsidRDefault="00CD5A49" w:rsidP="00CD5A49">
            <w:pPr>
              <w:pStyle w:val="Kop2"/>
              <w:outlineLvl w:val="1"/>
              <w:rPr>
                <w:sz w:val="16"/>
                <w:szCs w:val="16"/>
              </w:rPr>
            </w:pPr>
            <w:r w:rsidRPr="004D0200">
              <w:rPr>
                <w:sz w:val="16"/>
                <w:szCs w:val="16"/>
              </w:rPr>
              <w:t>Totaal 2019</w:t>
            </w:r>
          </w:p>
        </w:tc>
        <w:tc>
          <w:tcPr>
            <w:tcW w:w="0" w:type="auto"/>
          </w:tcPr>
          <w:p w14:paraId="3BD32D65" w14:textId="2E065F04" w:rsidR="00AA415F" w:rsidRPr="004D0200" w:rsidRDefault="00CD5A49" w:rsidP="00CD5A49">
            <w:pPr>
              <w:pStyle w:val="Kop2"/>
              <w:outlineLvl w:val="1"/>
              <w:rPr>
                <w:sz w:val="16"/>
                <w:szCs w:val="16"/>
              </w:rPr>
            </w:pPr>
            <w:r w:rsidRPr="004D0200">
              <w:rPr>
                <w:sz w:val="16"/>
                <w:szCs w:val="16"/>
              </w:rPr>
              <w:t>Totaal 2020</w:t>
            </w:r>
          </w:p>
        </w:tc>
        <w:tc>
          <w:tcPr>
            <w:tcW w:w="0" w:type="auto"/>
          </w:tcPr>
          <w:p w14:paraId="2F8158E7" w14:textId="72AC9D6D" w:rsidR="00AA415F" w:rsidRPr="004D0200" w:rsidRDefault="00CD5A49" w:rsidP="00CD5A49">
            <w:pPr>
              <w:pStyle w:val="Kop2"/>
              <w:outlineLvl w:val="1"/>
              <w:rPr>
                <w:sz w:val="16"/>
                <w:szCs w:val="16"/>
              </w:rPr>
            </w:pPr>
            <w:r w:rsidRPr="004D0200">
              <w:rPr>
                <w:sz w:val="16"/>
                <w:szCs w:val="16"/>
              </w:rPr>
              <w:t>Totaal 2021</w:t>
            </w:r>
          </w:p>
        </w:tc>
        <w:tc>
          <w:tcPr>
            <w:tcW w:w="0" w:type="auto"/>
          </w:tcPr>
          <w:p w14:paraId="103C6E43" w14:textId="461265E1" w:rsidR="00AA415F" w:rsidRPr="004D0200" w:rsidRDefault="00CD5A49" w:rsidP="00CD5A49">
            <w:pPr>
              <w:pStyle w:val="Kop2"/>
              <w:outlineLvl w:val="1"/>
              <w:rPr>
                <w:sz w:val="16"/>
                <w:szCs w:val="16"/>
              </w:rPr>
            </w:pPr>
            <w:r w:rsidRPr="004D0200">
              <w:rPr>
                <w:sz w:val="16"/>
                <w:szCs w:val="16"/>
              </w:rPr>
              <w:t>Totaal 2022</w:t>
            </w:r>
          </w:p>
        </w:tc>
      </w:tr>
      <w:tr w:rsidR="00ED756D" w:rsidRPr="008B33B8" w14:paraId="3FD9A7D7" w14:textId="77777777" w:rsidTr="00A82285">
        <w:tc>
          <w:tcPr>
            <w:tcW w:w="0" w:type="auto"/>
          </w:tcPr>
          <w:p w14:paraId="42084062" w14:textId="14A1CDE9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Bunnik</w:t>
            </w:r>
          </w:p>
        </w:tc>
        <w:tc>
          <w:tcPr>
            <w:tcW w:w="2127" w:type="dxa"/>
          </w:tcPr>
          <w:p w14:paraId="519AB668" w14:textId="1E3FCD5A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€ 60.832 = 8,9%</w:t>
            </w:r>
          </w:p>
        </w:tc>
        <w:tc>
          <w:tcPr>
            <w:tcW w:w="1049" w:type="dxa"/>
          </w:tcPr>
          <w:p w14:paraId="3754A692" w14:textId="16B4FE05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€ 6.474</w:t>
            </w:r>
          </w:p>
        </w:tc>
        <w:tc>
          <w:tcPr>
            <w:tcW w:w="0" w:type="auto"/>
          </w:tcPr>
          <w:p w14:paraId="4587135E" w14:textId="521BE8BB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€ 20.069</w:t>
            </w:r>
          </w:p>
        </w:tc>
        <w:tc>
          <w:tcPr>
            <w:tcW w:w="0" w:type="auto"/>
          </w:tcPr>
          <w:p w14:paraId="69FEDF4D" w14:textId="184F9725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€ 18.913</w:t>
            </w:r>
          </w:p>
        </w:tc>
        <w:tc>
          <w:tcPr>
            <w:tcW w:w="0" w:type="auto"/>
          </w:tcPr>
          <w:p w14:paraId="71C98B39" w14:textId="3319429B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€ 25.294</w:t>
            </w:r>
          </w:p>
        </w:tc>
        <w:tc>
          <w:tcPr>
            <w:tcW w:w="0" w:type="auto"/>
          </w:tcPr>
          <w:p w14:paraId="5BEF0C61" w14:textId="6AD2F4A9" w:rsidR="00ED756D" w:rsidRPr="008B33B8" w:rsidRDefault="005F1368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€ 67.023</w:t>
            </w:r>
          </w:p>
        </w:tc>
        <w:tc>
          <w:tcPr>
            <w:tcW w:w="0" w:type="auto"/>
          </w:tcPr>
          <w:p w14:paraId="7CBADD0C" w14:textId="2A7A1F8E" w:rsidR="00ED756D" w:rsidRPr="008B33B8" w:rsidRDefault="000701BB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€ 81.378</w:t>
            </w:r>
          </w:p>
        </w:tc>
        <w:tc>
          <w:tcPr>
            <w:tcW w:w="0" w:type="auto"/>
          </w:tcPr>
          <w:p w14:paraId="27BF0035" w14:textId="1D3218DE" w:rsidR="00ED756D" w:rsidRPr="008B33B8" w:rsidRDefault="00AF414B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€ 80.992</w:t>
            </w:r>
          </w:p>
        </w:tc>
        <w:tc>
          <w:tcPr>
            <w:tcW w:w="0" w:type="auto"/>
          </w:tcPr>
          <w:p w14:paraId="6577CBFD" w14:textId="4B82B1DF" w:rsidR="00ED756D" w:rsidRPr="008B33B8" w:rsidRDefault="00AF414B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 xml:space="preserve">€ </w:t>
            </w:r>
            <w:r w:rsidR="00A43100" w:rsidRPr="008B33B8">
              <w:rPr>
                <w:sz w:val="16"/>
                <w:szCs w:val="16"/>
              </w:rPr>
              <w:t>88.157</w:t>
            </w:r>
          </w:p>
        </w:tc>
      </w:tr>
      <w:tr w:rsidR="00ED756D" w:rsidRPr="008B33B8" w14:paraId="1CEEA8CE" w14:textId="77777777" w:rsidTr="00A82285">
        <w:tc>
          <w:tcPr>
            <w:tcW w:w="0" w:type="auto"/>
          </w:tcPr>
          <w:p w14:paraId="1C08B168" w14:textId="23115484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Houten</w:t>
            </w:r>
          </w:p>
        </w:tc>
        <w:tc>
          <w:tcPr>
            <w:tcW w:w="2127" w:type="dxa"/>
          </w:tcPr>
          <w:p w14:paraId="148AB581" w14:textId="47F71B6C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€ 179.151 = 26,4%</w:t>
            </w:r>
          </w:p>
        </w:tc>
        <w:tc>
          <w:tcPr>
            <w:tcW w:w="1049" w:type="dxa"/>
          </w:tcPr>
          <w:p w14:paraId="2861DDB9" w14:textId="0674D121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€ 19.203</w:t>
            </w:r>
          </w:p>
        </w:tc>
        <w:tc>
          <w:tcPr>
            <w:tcW w:w="0" w:type="auto"/>
          </w:tcPr>
          <w:p w14:paraId="4D83BD1A" w14:textId="71D3E831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€ 59.532</w:t>
            </w:r>
          </w:p>
        </w:tc>
        <w:tc>
          <w:tcPr>
            <w:tcW w:w="0" w:type="auto"/>
          </w:tcPr>
          <w:p w14:paraId="51FA5F71" w14:textId="53E01EDE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€ 56.100</w:t>
            </w:r>
          </w:p>
        </w:tc>
        <w:tc>
          <w:tcPr>
            <w:tcW w:w="0" w:type="auto"/>
          </w:tcPr>
          <w:p w14:paraId="0D2C5975" w14:textId="43B96492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€ 75.029</w:t>
            </w:r>
          </w:p>
        </w:tc>
        <w:tc>
          <w:tcPr>
            <w:tcW w:w="0" w:type="auto"/>
          </w:tcPr>
          <w:p w14:paraId="79708417" w14:textId="43FA17A0" w:rsidR="00ED756D" w:rsidRPr="008B33B8" w:rsidRDefault="005F1368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€ 198.809</w:t>
            </w:r>
          </w:p>
        </w:tc>
        <w:tc>
          <w:tcPr>
            <w:tcW w:w="0" w:type="auto"/>
          </w:tcPr>
          <w:p w14:paraId="6C885519" w14:textId="17959806" w:rsidR="00ED756D" w:rsidRPr="008B33B8" w:rsidRDefault="000701BB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€ 241.391</w:t>
            </w:r>
          </w:p>
        </w:tc>
        <w:tc>
          <w:tcPr>
            <w:tcW w:w="0" w:type="auto"/>
          </w:tcPr>
          <w:p w14:paraId="45358BE7" w14:textId="0975E153" w:rsidR="00ED756D" w:rsidRPr="008B33B8" w:rsidRDefault="00AF414B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 xml:space="preserve">€ </w:t>
            </w:r>
            <w:r w:rsidR="00637496" w:rsidRPr="008B33B8">
              <w:rPr>
                <w:sz w:val="16"/>
                <w:szCs w:val="16"/>
              </w:rPr>
              <w:t>240.247</w:t>
            </w:r>
          </w:p>
        </w:tc>
        <w:tc>
          <w:tcPr>
            <w:tcW w:w="0" w:type="auto"/>
          </w:tcPr>
          <w:p w14:paraId="32450572" w14:textId="000836AB" w:rsidR="00ED756D" w:rsidRPr="008B33B8" w:rsidRDefault="00AF414B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 xml:space="preserve">€ </w:t>
            </w:r>
            <w:r w:rsidR="00A43100" w:rsidRPr="008B33B8">
              <w:rPr>
                <w:sz w:val="16"/>
                <w:szCs w:val="16"/>
              </w:rPr>
              <w:t>261.498</w:t>
            </w:r>
          </w:p>
        </w:tc>
      </w:tr>
      <w:tr w:rsidR="00ED756D" w:rsidRPr="008B33B8" w14:paraId="4AF4B616" w14:textId="77777777" w:rsidTr="00A82285">
        <w:tc>
          <w:tcPr>
            <w:tcW w:w="0" w:type="auto"/>
          </w:tcPr>
          <w:p w14:paraId="0ACE97C5" w14:textId="5548B1B3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Rhenen</w:t>
            </w:r>
          </w:p>
        </w:tc>
        <w:tc>
          <w:tcPr>
            <w:tcW w:w="2127" w:type="dxa"/>
          </w:tcPr>
          <w:p w14:paraId="32A10522" w14:textId="2890D192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€ 77.058 = 11,3%</w:t>
            </w:r>
          </w:p>
        </w:tc>
        <w:tc>
          <w:tcPr>
            <w:tcW w:w="1049" w:type="dxa"/>
          </w:tcPr>
          <w:p w14:paraId="664EB567" w14:textId="1D1BF436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€ 8.220</w:t>
            </w:r>
          </w:p>
        </w:tc>
        <w:tc>
          <w:tcPr>
            <w:tcW w:w="0" w:type="auto"/>
          </w:tcPr>
          <w:p w14:paraId="74921844" w14:textId="0AA7B3DE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€ 25.481</w:t>
            </w:r>
          </w:p>
        </w:tc>
        <w:tc>
          <w:tcPr>
            <w:tcW w:w="0" w:type="auto"/>
          </w:tcPr>
          <w:p w14:paraId="23B9DF77" w14:textId="2BD9F18E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€ 24.013</w:t>
            </w:r>
          </w:p>
        </w:tc>
        <w:tc>
          <w:tcPr>
            <w:tcW w:w="0" w:type="auto"/>
          </w:tcPr>
          <w:p w14:paraId="2CBEAE53" w14:textId="09B0369A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€ 32.114</w:t>
            </w:r>
          </w:p>
        </w:tc>
        <w:tc>
          <w:tcPr>
            <w:tcW w:w="0" w:type="auto"/>
          </w:tcPr>
          <w:p w14:paraId="2A3274AE" w14:textId="4649F237" w:rsidR="00ED756D" w:rsidRPr="008B33B8" w:rsidRDefault="005F1368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€ 85.096</w:t>
            </w:r>
          </w:p>
        </w:tc>
        <w:tc>
          <w:tcPr>
            <w:tcW w:w="0" w:type="auto"/>
          </w:tcPr>
          <w:p w14:paraId="6CB2F879" w14:textId="074BBC19" w:rsidR="00ED756D" w:rsidRPr="008B33B8" w:rsidRDefault="000701BB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€ 103.32</w:t>
            </w:r>
            <w:r w:rsidR="00D20656" w:rsidRPr="008B33B8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28F31BD1" w14:textId="7C784C1F" w:rsidR="00ED756D" w:rsidRPr="008B33B8" w:rsidRDefault="00AF414B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 xml:space="preserve">€ </w:t>
            </w:r>
            <w:r w:rsidR="00637496" w:rsidRPr="008B33B8">
              <w:rPr>
                <w:sz w:val="16"/>
                <w:szCs w:val="16"/>
              </w:rPr>
              <w:t>102.833</w:t>
            </w:r>
          </w:p>
        </w:tc>
        <w:tc>
          <w:tcPr>
            <w:tcW w:w="0" w:type="auto"/>
          </w:tcPr>
          <w:p w14:paraId="117EDD19" w14:textId="2D516C71" w:rsidR="00ED756D" w:rsidRPr="008B33B8" w:rsidRDefault="00AF414B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 xml:space="preserve">€ </w:t>
            </w:r>
            <w:r w:rsidR="00A43100" w:rsidRPr="008B33B8">
              <w:rPr>
                <w:sz w:val="16"/>
                <w:szCs w:val="16"/>
              </w:rPr>
              <w:t>111.929</w:t>
            </w:r>
          </w:p>
        </w:tc>
      </w:tr>
      <w:tr w:rsidR="00ED756D" w:rsidRPr="008B33B8" w14:paraId="1B4C2BDC" w14:textId="77777777" w:rsidTr="00A82285">
        <w:tc>
          <w:tcPr>
            <w:tcW w:w="0" w:type="auto"/>
          </w:tcPr>
          <w:p w14:paraId="56E76D8F" w14:textId="77777777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 xml:space="preserve">Utrechtse </w:t>
            </w:r>
          </w:p>
          <w:p w14:paraId="28FA5810" w14:textId="28F4EAFB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Heuvelrug</w:t>
            </w:r>
          </w:p>
        </w:tc>
        <w:tc>
          <w:tcPr>
            <w:tcW w:w="2127" w:type="dxa"/>
          </w:tcPr>
          <w:p w14:paraId="27113122" w14:textId="6949846D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€ 189.899 = 27,9%</w:t>
            </w:r>
          </w:p>
        </w:tc>
        <w:tc>
          <w:tcPr>
            <w:tcW w:w="1049" w:type="dxa"/>
          </w:tcPr>
          <w:p w14:paraId="5996BE97" w14:textId="268706B4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€ 20.295</w:t>
            </w:r>
          </w:p>
        </w:tc>
        <w:tc>
          <w:tcPr>
            <w:tcW w:w="0" w:type="auto"/>
          </w:tcPr>
          <w:p w14:paraId="071A8D83" w14:textId="563BF2B9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€ 62.915</w:t>
            </w:r>
          </w:p>
        </w:tc>
        <w:tc>
          <w:tcPr>
            <w:tcW w:w="0" w:type="auto"/>
          </w:tcPr>
          <w:p w14:paraId="20B38839" w14:textId="3D6A1121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€ 59.287</w:t>
            </w:r>
          </w:p>
        </w:tc>
        <w:tc>
          <w:tcPr>
            <w:tcW w:w="0" w:type="auto"/>
          </w:tcPr>
          <w:p w14:paraId="227DBDF0" w14:textId="43647B16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€ 79.292</w:t>
            </w:r>
          </w:p>
        </w:tc>
        <w:tc>
          <w:tcPr>
            <w:tcW w:w="0" w:type="auto"/>
          </w:tcPr>
          <w:p w14:paraId="4CEC61C0" w14:textId="17C327DB" w:rsidR="00ED756D" w:rsidRPr="008B33B8" w:rsidRDefault="005F1368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€ 210.105</w:t>
            </w:r>
          </w:p>
        </w:tc>
        <w:tc>
          <w:tcPr>
            <w:tcW w:w="0" w:type="auto"/>
          </w:tcPr>
          <w:p w14:paraId="236EDA1E" w14:textId="4A97B69E" w:rsidR="00ED756D" w:rsidRPr="008B33B8" w:rsidRDefault="000701BB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€ 255</w:t>
            </w:r>
            <w:r w:rsidR="00D20656" w:rsidRPr="008B33B8">
              <w:rPr>
                <w:sz w:val="16"/>
                <w:szCs w:val="16"/>
              </w:rPr>
              <w:t>.107</w:t>
            </w:r>
          </w:p>
        </w:tc>
        <w:tc>
          <w:tcPr>
            <w:tcW w:w="0" w:type="auto"/>
          </w:tcPr>
          <w:p w14:paraId="6EB282CB" w14:textId="291CE66B" w:rsidR="00ED756D" w:rsidRPr="008B33B8" w:rsidRDefault="00AF414B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 xml:space="preserve">€ </w:t>
            </w:r>
            <w:r w:rsidR="00637496" w:rsidRPr="008B33B8">
              <w:rPr>
                <w:sz w:val="16"/>
                <w:szCs w:val="16"/>
              </w:rPr>
              <w:t>253.89</w:t>
            </w:r>
            <w:r w:rsidR="0031564D" w:rsidRPr="008B33B8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</w:tcPr>
          <w:p w14:paraId="5150940A" w14:textId="312709CC" w:rsidR="00ED756D" w:rsidRPr="008B33B8" w:rsidRDefault="00AF414B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 xml:space="preserve">€ </w:t>
            </w:r>
            <w:r w:rsidR="00A43100" w:rsidRPr="008B33B8">
              <w:rPr>
                <w:sz w:val="16"/>
                <w:szCs w:val="16"/>
              </w:rPr>
              <w:t>276.356</w:t>
            </w:r>
          </w:p>
        </w:tc>
      </w:tr>
      <w:tr w:rsidR="00ED756D" w:rsidRPr="008B33B8" w14:paraId="1E6BC785" w14:textId="77777777" w:rsidTr="00A82285">
        <w:tc>
          <w:tcPr>
            <w:tcW w:w="0" w:type="auto"/>
          </w:tcPr>
          <w:p w14:paraId="543B63CC" w14:textId="1163252D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Vianen</w:t>
            </w:r>
          </w:p>
        </w:tc>
        <w:tc>
          <w:tcPr>
            <w:tcW w:w="2127" w:type="dxa"/>
          </w:tcPr>
          <w:p w14:paraId="057070E4" w14:textId="0CB4C4DE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€ 79.387 = 11,7%</w:t>
            </w:r>
          </w:p>
        </w:tc>
        <w:tc>
          <w:tcPr>
            <w:tcW w:w="1049" w:type="dxa"/>
          </w:tcPr>
          <w:p w14:paraId="45A77DE5" w14:textId="7FF8D4B3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€ 8.510</w:t>
            </w:r>
          </w:p>
        </w:tc>
        <w:tc>
          <w:tcPr>
            <w:tcW w:w="0" w:type="auto"/>
          </w:tcPr>
          <w:p w14:paraId="45959455" w14:textId="31C043AE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€ 26.384</w:t>
            </w:r>
          </w:p>
        </w:tc>
        <w:tc>
          <w:tcPr>
            <w:tcW w:w="0" w:type="auto"/>
          </w:tcPr>
          <w:p w14:paraId="16684810" w14:textId="0DE64C7E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€ 24.862</w:t>
            </w:r>
          </w:p>
        </w:tc>
        <w:tc>
          <w:tcPr>
            <w:tcW w:w="0" w:type="auto"/>
          </w:tcPr>
          <w:p w14:paraId="39A156B8" w14:textId="1C5AF0EF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€ 33.251</w:t>
            </w:r>
          </w:p>
        </w:tc>
        <w:tc>
          <w:tcPr>
            <w:tcW w:w="0" w:type="auto"/>
          </w:tcPr>
          <w:p w14:paraId="7D88A090" w14:textId="25A054BE" w:rsidR="00ED756D" w:rsidRPr="008B33B8" w:rsidRDefault="005F1368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€ 88.108</w:t>
            </w:r>
          </w:p>
        </w:tc>
        <w:tc>
          <w:tcPr>
            <w:tcW w:w="0" w:type="auto"/>
          </w:tcPr>
          <w:p w14:paraId="7D84BEB4" w14:textId="486ACA92" w:rsidR="00ED756D" w:rsidRPr="008B33B8" w:rsidRDefault="000701BB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 xml:space="preserve">€ </w:t>
            </w:r>
            <w:r w:rsidR="00D20656" w:rsidRPr="008B33B8">
              <w:rPr>
                <w:sz w:val="16"/>
                <w:szCs w:val="16"/>
              </w:rPr>
              <w:t>106.980</w:t>
            </w:r>
          </w:p>
        </w:tc>
        <w:tc>
          <w:tcPr>
            <w:tcW w:w="0" w:type="auto"/>
          </w:tcPr>
          <w:p w14:paraId="6894EC1C" w14:textId="5A4306C7" w:rsidR="00ED756D" w:rsidRPr="008B33B8" w:rsidRDefault="00AF414B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 xml:space="preserve">€ </w:t>
            </w:r>
            <w:r w:rsidR="00637496" w:rsidRPr="008B33B8">
              <w:rPr>
                <w:sz w:val="16"/>
                <w:szCs w:val="16"/>
              </w:rPr>
              <w:t>106.473</w:t>
            </w:r>
          </w:p>
        </w:tc>
        <w:tc>
          <w:tcPr>
            <w:tcW w:w="0" w:type="auto"/>
          </w:tcPr>
          <w:p w14:paraId="3432DD97" w14:textId="065E98C6" w:rsidR="00ED756D" w:rsidRPr="008B33B8" w:rsidRDefault="00AF414B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 xml:space="preserve">€ </w:t>
            </w:r>
            <w:r w:rsidR="00A43100" w:rsidRPr="008B33B8">
              <w:rPr>
                <w:sz w:val="16"/>
                <w:szCs w:val="16"/>
              </w:rPr>
              <w:t>115.891</w:t>
            </w:r>
          </w:p>
        </w:tc>
      </w:tr>
      <w:tr w:rsidR="00ED756D" w:rsidRPr="008B33B8" w14:paraId="1C6D8571" w14:textId="77777777" w:rsidTr="00A82285">
        <w:tc>
          <w:tcPr>
            <w:tcW w:w="0" w:type="auto"/>
          </w:tcPr>
          <w:p w14:paraId="7D6A78BC" w14:textId="77777777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 xml:space="preserve">Wijk bij </w:t>
            </w:r>
          </w:p>
          <w:p w14:paraId="27D1EEBE" w14:textId="4EED372C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Duurstede</w:t>
            </w:r>
          </w:p>
        </w:tc>
        <w:tc>
          <w:tcPr>
            <w:tcW w:w="2127" w:type="dxa"/>
          </w:tcPr>
          <w:p w14:paraId="3BC0B60E" w14:textId="37157691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€ 93.997 = 13,8%</w:t>
            </w:r>
          </w:p>
        </w:tc>
        <w:tc>
          <w:tcPr>
            <w:tcW w:w="1049" w:type="dxa"/>
          </w:tcPr>
          <w:p w14:paraId="6B15186A" w14:textId="2CD1635B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€ 10.038</w:t>
            </w:r>
          </w:p>
        </w:tc>
        <w:tc>
          <w:tcPr>
            <w:tcW w:w="0" w:type="auto"/>
          </w:tcPr>
          <w:p w14:paraId="235698D7" w14:textId="74835D76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€ 31.119</w:t>
            </w:r>
          </w:p>
        </w:tc>
        <w:tc>
          <w:tcPr>
            <w:tcW w:w="0" w:type="auto"/>
          </w:tcPr>
          <w:p w14:paraId="4C322D2C" w14:textId="1D2BF61F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€ 29.325</w:t>
            </w:r>
          </w:p>
        </w:tc>
        <w:tc>
          <w:tcPr>
            <w:tcW w:w="0" w:type="auto"/>
          </w:tcPr>
          <w:p w14:paraId="3BFBCC3F" w14:textId="6D0C3578" w:rsidR="00ED756D" w:rsidRPr="008B33B8" w:rsidRDefault="00ED756D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€ 39.220</w:t>
            </w:r>
          </w:p>
        </w:tc>
        <w:tc>
          <w:tcPr>
            <w:tcW w:w="0" w:type="auto"/>
          </w:tcPr>
          <w:p w14:paraId="45D76FDE" w14:textId="14F1F18F" w:rsidR="00ED756D" w:rsidRPr="008B33B8" w:rsidRDefault="005F1368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>€ 103.923</w:t>
            </w:r>
          </w:p>
        </w:tc>
        <w:tc>
          <w:tcPr>
            <w:tcW w:w="0" w:type="auto"/>
          </w:tcPr>
          <w:p w14:paraId="74EB6F76" w14:textId="42EEC3A8" w:rsidR="00ED756D" w:rsidRPr="008B33B8" w:rsidRDefault="000701BB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 xml:space="preserve">€ </w:t>
            </w:r>
            <w:r w:rsidR="00D20656" w:rsidRPr="008B33B8">
              <w:rPr>
                <w:sz w:val="16"/>
                <w:szCs w:val="16"/>
              </w:rPr>
              <w:t>126.182</w:t>
            </w:r>
          </w:p>
        </w:tc>
        <w:tc>
          <w:tcPr>
            <w:tcW w:w="0" w:type="auto"/>
          </w:tcPr>
          <w:p w14:paraId="071FFD94" w14:textId="7F5D34FD" w:rsidR="00ED756D" w:rsidRPr="008B33B8" w:rsidRDefault="00AF414B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 xml:space="preserve">€ </w:t>
            </w:r>
            <w:r w:rsidR="0031564D" w:rsidRPr="008B33B8">
              <w:rPr>
                <w:sz w:val="16"/>
                <w:szCs w:val="16"/>
              </w:rPr>
              <w:t>125.584</w:t>
            </w:r>
          </w:p>
        </w:tc>
        <w:tc>
          <w:tcPr>
            <w:tcW w:w="0" w:type="auto"/>
          </w:tcPr>
          <w:p w14:paraId="714FC60B" w14:textId="70A4B431" w:rsidR="00ED756D" w:rsidRPr="008B33B8" w:rsidRDefault="00AF414B" w:rsidP="00ED756D">
            <w:pPr>
              <w:rPr>
                <w:sz w:val="16"/>
                <w:szCs w:val="16"/>
              </w:rPr>
            </w:pPr>
            <w:r w:rsidRPr="008B33B8">
              <w:rPr>
                <w:sz w:val="16"/>
                <w:szCs w:val="16"/>
              </w:rPr>
              <w:t xml:space="preserve">€ </w:t>
            </w:r>
            <w:r w:rsidR="00A43100" w:rsidRPr="008B33B8">
              <w:rPr>
                <w:sz w:val="16"/>
                <w:szCs w:val="16"/>
              </w:rPr>
              <w:t>136.692</w:t>
            </w:r>
          </w:p>
        </w:tc>
      </w:tr>
      <w:tr w:rsidR="00ED756D" w:rsidRPr="008B33B8" w14:paraId="0AFC7054" w14:textId="77777777" w:rsidTr="00A82285">
        <w:tc>
          <w:tcPr>
            <w:tcW w:w="0" w:type="auto"/>
          </w:tcPr>
          <w:p w14:paraId="30A4F3D4" w14:textId="274D1B78" w:rsidR="00ED756D" w:rsidRPr="008B33B8" w:rsidRDefault="00ED756D" w:rsidP="00ED756D">
            <w:pPr>
              <w:rPr>
                <w:rStyle w:val="Intensievebenadrukking"/>
                <w:sz w:val="16"/>
                <w:szCs w:val="16"/>
              </w:rPr>
            </w:pPr>
            <w:r w:rsidRPr="008B33B8">
              <w:rPr>
                <w:rStyle w:val="Intensievebenadrukking"/>
                <w:sz w:val="16"/>
                <w:szCs w:val="16"/>
              </w:rPr>
              <w:t>Totaal</w:t>
            </w:r>
          </w:p>
        </w:tc>
        <w:tc>
          <w:tcPr>
            <w:tcW w:w="2127" w:type="dxa"/>
          </w:tcPr>
          <w:p w14:paraId="432AD333" w14:textId="6AE2D47A" w:rsidR="00ED756D" w:rsidRPr="008B33B8" w:rsidRDefault="00ED756D" w:rsidP="00ED756D">
            <w:pPr>
              <w:rPr>
                <w:rStyle w:val="Intensievebenadrukking"/>
                <w:sz w:val="16"/>
                <w:szCs w:val="16"/>
              </w:rPr>
            </w:pPr>
            <w:r w:rsidRPr="008B33B8">
              <w:rPr>
                <w:rStyle w:val="Intensievebenadrukking"/>
                <w:sz w:val="16"/>
                <w:szCs w:val="16"/>
              </w:rPr>
              <w:t>€ 680.324 = 100%</w:t>
            </w:r>
          </w:p>
        </w:tc>
        <w:tc>
          <w:tcPr>
            <w:tcW w:w="1049" w:type="dxa"/>
          </w:tcPr>
          <w:p w14:paraId="5CF5146E" w14:textId="676C5423" w:rsidR="00ED756D" w:rsidRPr="008B33B8" w:rsidRDefault="00ED756D" w:rsidP="00ED756D">
            <w:pPr>
              <w:rPr>
                <w:rStyle w:val="Intensievebenadrukking"/>
                <w:sz w:val="16"/>
                <w:szCs w:val="16"/>
              </w:rPr>
            </w:pPr>
            <w:r w:rsidRPr="008B33B8">
              <w:rPr>
                <w:rStyle w:val="Intensievebenadrukking"/>
                <w:sz w:val="16"/>
                <w:szCs w:val="16"/>
              </w:rPr>
              <w:t>€ 72.740</w:t>
            </w:r>
          </w:p>
        </w:tc>
        <w:tc>
          <w:tcPr>
            <w:tcW w:w="0" w:type="auto"/>
          </w:tcPr>
          <w:p w14:paraId="411DB60C" w14:textId="16390461" w:rsidR="00ED756D" w:rsidRPr="008B33B8" w:rsidRDefault="00ED756D" w:rsidP="00ED756D">
            <w:pPr>
              <w:rPr>
                <w:rStyle w:val="Intensievebenadrukking"/>
                <w:sz w:val="16"/>
                <w:szCs w:val="16"/>
              </w:rPr>
            </w:pPr>
            <w:r w:rsidRPr="008B33B8">
              <w:rPr>
                <w:rStyle w:val="Intensievebenadrukking"/>
                <w:sz w:val="16"/>
                <w:szCs w:val="16"/>
              </w:rPr>
              <w:t>€ 225.500</w:t>
            </w:r>
          </w:p>
        </w:tc>
        <w:tc>
          <w:tcPr>
            <w:tcW w:w="0" w:type="auto"/>
          </w:tcPr>
          <w:p w14:paraId="2BDDCE64" w14:textId="0F872F58" w:rsidR="00ED756D" w:rsidRPr="008B33B8" w:rsidRDefault="00ED756D" w:rsidP="00ED756D">
            <w:pPr>
              <w:rPr>
                <w:rStyle w:val="Intensievebenadrukking"/>
                <w:sz w:val="16"/>
                <w:szCs w:val="16"/>
              </w:rPr>
            </w:pPr>
            <w:r w:rsidRPr="008B33B8">
              <w:rPr>
                <w:rStyle w:val="Intensievebenadrukking"/>
                <w:sz w:val="16"/>
                <w:szCs w:val="16"/>
              </w:rPr>
              <w:t>€ 212.500</w:t>
            </w:r>
          </w:p>
        </w:tc>
        <w:tc>
          <w:tcPr>
            <w:tcW w:w="0" w:type="auto"/>
          </w:tcPr>
          <w:p w14:paraId="7743989C" w14:textId="39B0F1CC" w:rsidR="00ED756D" w:rsidRPr="008B33B8" w:rsidRDefault="00ED756D" w:rsidP="00ED756D">
            <w:pPr>
              <w:rPr>
                <w:rStyle w:val="Intensievebenadrukking"/>
                <w:sz w:val="16"/>
                <w:szCs w:val="16"/>
              </w:rPr>
            </w:pPr>
            <w:r w:rsidRPr="008B33B8">
              <w:rPr>
                <w:rStyle w:val="Intensievebenadrukking"/>
                <w:sz w:val="16"/>
                <w:szCs w:val="16"/>
              </w:rPr>
              <w:t>€ 284.200</w:t>
            </w:r>
          </w:p>
        </w:tc>
        <w:tc>
          <w:tcPr>
            <w:tcW w:w="0" w:type="auto"/>
          </w:tcPr>
          <w:p w14:paraId="7742810B" w14:textId="01C44A54" w:rsidR="00ED756D" w:rsidRPr="008B33B8" w:rsidRDefault="008C2672" w:rsidP="00ED756D">
            <w:pPr>
              <w:rPr>
                <w:rStyle w:val="Intensievebenadrukking"/>
                <w:sz w:val="16"/>
                <w:szCs w:val="16"/>
              </w:rPr>
            </w:pPr>
            <w:r w:rsidRPr="008B33B8">
              <w:rPr>
                <w:rStyle w:val="Intensievebenadrukking"/>
                <w:sz w:val="16"/>
                <w:szCs w:val="16"/>
              </w:rPr>
              <w:t>€ 753.064</w:t>
            </w:r>
          </w:p>
        </w:tc>
        <w:tc>
          <w:tcPr>
            <w:tcW w:w="0" w:type="auto"/>
          </w:tcPr>
          <w:p w14:paraId="4D5D843F" w14:textId="59530A40" w:rsidR="00ED756D" w:rsidRPr="008B33B8" w:rsidRDefault="008C2672" w:rsidP="00ED756D">
            <w:pPr>
              <w:rPr>
                <w:rStyle w:val="Intensievebenadrukking"/>
                <w:sz w:val="16"/>
                <w:szCs w:val="16"/>
              </w:rPr>
            </w:pPr>
            <w:r w:rsidRPr="008B33B8">
              <w:rPr>
                <w:rStyle w:val="Intensievebenadrukking"/>
                <w:sz w:val="16"/>
                <w:szCs w:val="16"/>
              </w:rPr>
              <w:t xml:space="preserve">€ </w:t>
            </w:r>
            <w:r w:rsidR="00AB4CD7" w:rsidRPr="008B33B8">
              <w:rPr>
                <w:rStyle w:val="Intensievebenadrukking"/>
                <w:sz w:val="16"/>
                <w:szCs w:val="16"/>
              </w:rPr>
              <w:t>914.361</w:t>
            </w:r>
          </w:p>
        </w:tc>
        <w:tc>
          <w:tcPr>
            <w:tcW w:w="0" w:type="auto"/>
          </w:tcPr>
          <w:p w14:paraId="17A74B77" w14:textId="792B586B" w:rsidR="00ED756D" w:rsidRPr="008B33B8" w:rsidRDefault="00433929" w:rsidP="00ED756D">
            <w:pPr>
              <w:rPr>
                <w:rStyle w:val="Intensievebenadrukking"/>
                <w:sz w:val="16"/>
                <w:szCs w:val="16"/>
              </w:rPr>
            </w:pPr>
            <w:r w:rsidRPr="008B33B8">
              <w:rPr>
                <w:rStyle w:val="Intensievebenadrukking"/>
                <w:sz w:val="16"/>
                <w:szCs w:val="16"/>
              </w:rPr>
              <w:t>€ 910.027</w:t>
            </w:r>
          </w:p>
        </w:tc>
        <w:tc>
          <w:tcPr>
            <w:tcW w:w="0" w:type="auto"/>
          </w:tcPr>
          <w:p w14:paraId="0806E143" w14:textId="24E26619" w:rsidR="00ED756D" w:rsidRPr="008B33B8" w:rsidRDefault="00433929" w:rsidP="00ED756D">
            <w:pPr>
              <w:rPr>
                <w:rStyle w:val="Intensievebenadrukking"/>
                <w:sz w:val="16"/>
                <w:szCs w:val="16"/>
              </w:rPr>
            </w:pPr>
            <w:r w:rsidRPr="008B33B8">
              <w:rPr>
                <w:rStyle w:val="Intensievebenadrukking"/>
                <w:sz w:val="16"/>
                <w:szCs w:val="16"/>
              </w:rPr>
              <w:t>€ 990.523</w:t>
            </w:r>
          </w:p>
        </w:tc>
      </w:tr>
    </w:tbl>
    <w:p w14:paraId="349FA785" w14:textId="77777777" w:rsidR="00A25CBE" w:rsidRDefault="00A25CBE" w:rsidP="00625911">
      <w:pPr>
        <w:spacing w:after="0"/>
        <w:rPr>
          <w:sz w:val="24"/>
          <w:szCs w:val="24"/>
          <w:u w:val="single"/>
        </w:rPr>
      </w:pPr>
    </w:p>
    <w:p w14:paraId="08D8BE69" w14:textId="1C599B18" w:rsidR="00625911" w:rsidRPr="00C74C8E" w:rsidRDefault="00CD5A49" w:rsidP="00625911">
      <w:pPr>
        <w:spacing w:after="0"/>
        <w:rPr>
          <w:sz w:val="24"/>
          <w:szCs w:val="24"/>
          <w:u w:val="single"/>
        </w:rPr>
      </w:pPr>
      <w:r w:rsidRPr="00C74C8E">
        <w:rPr>
          <w:sz w:val="24"/>
          <w:szCs w:val="24"/>
          <w:u w:val="single"/>
        </w:rPr>
        <w:t>Toelichting op tabel 2.</w:t>
      </w:r>
    </w:p>
    <w:p w14:paraId="29237F49" w14:textId="1EC41C05" w:rsidR="00CD5A49" w:rsidRPr="00CC39A0" w:rsidRDefault="00F31063" w:rsidP="00625911">
      <w:pPr>
        <w:spacing w:after="0"/>
        <w:rPr>
          <w:sz w:val="24"/>
          <w:szCs w:val="24"/>
        </w:rPr>
      </w:pPr>
      <w:r w:rsidRPr="00CC39A0">
        <w:rPr>
          <w:sz w:val="24"/>
          <w:szCs w:val="24"/>
        </w:rPr>
        <w:t>In 2019 worden de</w:t>
      </w:r>
      <w:r w:rsidR="00150120" w:rsidRPr="00CC39A0">
        <w:rPr>
          <w:sz w:val="24"/>
          <w:szCs w:val="24"/>
        </w:rPr>
        <w:t xml:space="preserve"> salar</w:t>
      </w:r>
      <w:r w:rsidRPr="00CC39A0">
        <w:rPr>
          <w:sz w:val="24"/>
          <w:szCs w:val="24"/>
        </w:rPr>
        <w:t>iskosten voor de eerste nieuwe functionaris volledig betaald uit de bestemmingsreserve voor het e-depot. Vanaf 2020 drukken de kosten voor de twee extra medewerkers op de reguliere begroting.</w:t>
      </w:r>
      <w:r w:rsidR="00375D52">
        <w:rPr>
          <w:sz w:val="24"/>
          <w:szCs w:val="24"/>
        </w:rPr>
        <w:t xml:space="preserve"> In juli 2018 is besloten om de definitieve besluitvorming over de aanstelling van de tweede functionaris op te schorten totdat duidelijkheid is over de toetreding van Vijfheerenlanden.</w:t>
      </w:r>
    </w:p>
    <w:p w14:paraId="7C368436" w14:textId="736E976B" w:rsidR="00F31063" w:rsidRPr="008774FC" w:rsidRDefault="00625911" w:rsidP="00625911">
      <w:pPr>
        <w:spacing w:after="0"/>
        <w:rPr>
          <w:sz w:val="24"/>
          <w:szCs w:val="24"/>
        </w:rPr>
      </w:pPr>
      <w:r w:rsidRPr="00CC39A0">
        <w:rPr>
          <w:sz w:val="24"/>
          <w:szCs w:val="24"/>
        </w:rPr>
        <w:t xml:space="preserve">Bij de berekening van de totalen per gemeente is uitgegaan van de bijdragen in de vastgestelde meerjarenbegroting 2019-2022 en van de hiervoor in tabel 1 genoemde </w:t>
      </w:r>
      <w:r w:rsidR="00A82285" w:rsidRPr="00CC39A0">
        <w:rPr>
          <w:sz w:val="24"/>
          <w:szCs w:val="24"/>
        </w:rPr>
        <w:t xml:space="preserve">extra </w:t>
      </w:r>
      <w:r w:rsidRPr="00CC39A0">
        <w:rPr>
          <w:sz w:val="24"/>
          <w:szCs w:val="24"/>
        </w:rPr>
        <w:t>incidentele en structurele kosten voor het nieuwe beleid.</w:t>
      </w:r>
    </w:p>
    <w:sectPr w:rsidR="00F31063" w:rsidRPr="008774FC" w:rsidSect="005648B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63657B" w14:textId="77777777" w:rsidR="005648B2" w:rsidRDefault="005648B2" w:rsidP="00F00CD9">
      <w:pPr>
        <w:spacing w:after="0" w:line="240" w:lineRule="auto"/>
      </w:pPr>
      <w:r>
        <w:separator/>
      </w:r>
    </w:p>
  </w:endnote>
  <w:endnote w:type="continuationSeparator" w:id="0">
    <w:p w14:paraId="3C69FD2A" w14:textId="77777777" w:rsidR="005648B2" w:rsidRDefault="005648B2" w:rsidP="00F00CD9">
      <w:pPr>
        <w:spacing w:after="0" w:line="240" w:lineRule="auto"/>
      </w:pPr>
      <w:r>
        <w:continuationSeparator/>
      </w:r>
    </w:p>
  </w:endnote>
  <w:endnote w:type="continuationNotice" w:id="1">
    <w:p w14:paraId="3AB4848E" w14:textId="77777777" w:rsidR="005648B2" w:rsidRDefault="005648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17BF9" w14:textId="77777777" w:rsidR="005648B2" w:rsidRDefault="005648B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5CD5" w14:textId="2C68C5B6" w:rsidR="005648B2" w:rsidRPr="00F00CD9" w:rsidRDefault="005648B2">
    <w:pPr>
      <w:pStyle w:val="Voettekst"/>
      <w:rPr>
        <w:rFonts w:cstheme="minorHAnsi"/>
        <w:color w:val="7F7F7F" w:themeColor="text1" w:themeTint="80"/>
        <w:sz w:val="21"/>
        <w:szCs w:val="21"/>
      </w:rPr>
    </w:pPr>
    <w:r w:rsidRPr="00F00CD9">
      <w:rPr>
        <w:rFonts w:cstheme="minorHAnsi"/>
        <w:color w:val="7F7F7F" w:themeColor="text1" w:themeTint="80"/>
        <w:sz w:val="21"/>
        <w:szCs w:val="21"/>
      </w:rPr>
      <w:t>Bijlage bij actielijn 17: Financiën</w:t>
    </w:r>
    <w:r w:rsidRPr="00F00CD9">
      <w:rPr>
        <w:rFonts w:cstheme="minorHAnsi"/>
        <w:color w:val="7F7F7F" w:themeColor="text1" w:themeTint="80"/>
        <w:sz w:val="21"/>
        <w:szCs w:val="21"/>
      </w:rPr>
      <w:tab/>
    </w:r>
    <w:r w:rsidRPr="00F00CD9">
      <w:rPr>
        <w:rFonts w:cstheme="minorHAnsi"/>
        <w:color w:val="7F7F7F" w:themeColor="text1" w:themeTint="80"/>
        <w:sz w:val="21"/>
        <w:szCs w:val="21"/>
      </w:rPr>
      <w:tab/>
    </w:r>
    <w:r w:rsidRPr="00F00CD9">
      <w:rPr>
        <w:rFonts w:cstheme="minorHAnsi"/>
        <w:color w:val="7F7F7F" w:themeColor="text1" w:themeTint="80"/>
        <w:sz w:val="21"/>
        <w:szCs w:val="21"/>
      </w:rPr>
      <w:fldChar w:fldCharType="begin"/>
    </w:r>
    <w:r w:rsidRPr="00F00CD9">
      <w:rPr>
        <w:rFonts w:cstheme="minorHAnsi"/>
        <w:color w:val="7F7F7F" w:themeColor="text1" w:themeTint="80"/>
        <w:sz w:val="21"/>
        <w:szCs w:val="21"/>
      </w:rPr>
      <w:instrText>PAGE   \* MERGEFORMAT</w:instrText>
    </w:r>
    <w:r w:rsidRPr="00F00CD9">
      <w:rPr>
        <w:rFonts w:cstheme="minorHAnsi"/>
        <w:color w:val="7F7F7F" w:themeColor="text1" w:themeTint="80"/>
        <w:sz w:val="21"/>
        <w:szCs w:val="21"/>
      </w:rPr>
      <w:fldChar w:fldCharType="separate"/>
    </w:r>
    <w:r>
      <w:rPr>
        <w:rFonts w:cstheme="minorHAnsi"/>
        <w:noProof/>
        <w:color w:val="7F7F7F" w:themeColor="text1" w:themeTint="80"/>
        <w:sz w:val="21"/>
        <w:szCs w:val="21"/>
      </w:rPr>
      <w:t>2</w:t>
    </w:r>
    <w:r w:rsidRPr="00F00CD9">
      <w:rPr>
        <w:rFonts w:cstheme="minorHAnsi"/>
        <w:color w:val="7F7F7F" w:themeColor="text1" w:themeTint="80"/>
        <w:sz w:val="21"/>
        <w:szCs w:val="21"/>
      </w:rPr>
      <w:fldChar w:fldCharType="end"/>
    </w:r>
  </w:p>
  <w:p w14:paraId="22D9896E" w14:textId="77777777" w:rsidR="005648B2" w:rsidRDefault="005648B2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538A0" w14:textId="77777777" w:rsidR="005648B2" w:rsidRDefault="005648B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08190" w14:textId="77777777" w:rsidR="005648B2" w:rsidRDefault="005648B2" w:rsidP="00F00CD9">
      <w:pPr>
        <w:spacing w:after="0" w:line="240" w:lineRule="auto"/>
      </w:pPr>
      <w:r>
        <w:separator/>
      </w:r>
    </w:p>
  </w:footnote>
  <w:footnote w:type="continuationSeparator" w:id="0">
    <w:p w14:paraId="6D375CD4" w14:textId="77777777" w:rsidR="005648B2" w:rsidRDefault="005648B2" w:rsidP="00F00CD9">
      <w:pPr>
        <w:spacing w:after="0" w:line="240" w:lineRule="auto"/>
      </w:pPr>
      <w:r>
        <w:continuationSeparator/>
      </w:r>
    </w:p>
  </w:footnote>
  <w:footnote w:type="continuationNotice" w:id="1">
    <w:p w14:paraId="5E3739EC" w14:textId="77777777" w:rsidR="005648B2" w:rsidRDefault="005648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D93D2" w14:textId="77777777" w:rsidR="005648B2" w:rsidRDefault="005648B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C3C07" w14:textId="77777777" w:rsidR="005648B2" w:rsidRDefault="005648B2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4E546" w14:textId="77777777" w:rsidR="005648B2" w:rsidRDefault="005648B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B540E1"/>
    <w:multiLevelType w:val="hybridMultilevel"/>
    <w:tmpl w:val="FA1CB0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200"/>
  <w:proofState w:spelling="clean"/>
  <w:defaultTabStop w:val="709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424"/>
    <w:rsid w:val="00012529"/>
    <w:rsid w:val="00056AE6"/>
    <w:rsid w:val="000701BB"/>
    <w:rsid w:val="000874FA"/>
    <w:rsid w:val="000A331C"/>
    <w:rsid w:val="000D5366"/>
    <w:rsid w:val="000D6BF3"/>
    <w:rsid w:val="000F7448"/>
    <w:rsid w:val="001022F6"/>
    <w:rsid w:val="00103944"/>
    <w:rsid w:val="00104E0A"/>
    <w:rsid w:val="001263A4"/>
    <w:rsid w:val="00130E0E"/>
    <w:rsid w:val="00134599"/>
    <w:rsid w:val="00147107"/>
    <w:rsid w:val="00150120"/>
    <w:rsid w:val="001738A2"/>
    <w:rsid w:val="0017762D"/>
    <w:rsid w:val="001F074C"/>
    <w:rsid w:val="00200117"/>
    <w:rsid w:val="00243520"/>
    <w:rsid w:val="00245E07"/>
    <w:rsid w:val="00257AF9"/>
    <w:rsid w:val="00273499"/>
    <w:rsid w:val="002755FD"/>
    <w:rsid w:val="0028314B"/>
    <w:rsid w:val="00286786"/>
    <w:rsid w:val="00293F82"/>
    <w:rsid w:val="002A6047"/>
    <w:rsid w:val="002B614D"/>
    <w:rsid w:val="002F20A1"/>
    <w:rsid w:val="0031564D"/>
    <w:rsid w:val="00343424"/>
    <w:rsid w:val="00363D16"/>
    <w:rsid w:val="00375D52"/>
    <w:rsid w:val="003955FF"/>
    <w:rsid w:val="003970F8"/>
    <w:rsid w:val="003A69FC"/>
    <w:rsid w:val="003F29BA"/>
    <w:rsid w:val="003F4515"/>
    <w:rsid w:val="003F4F24"/>
    <w:rsid w:val="004215E0"/>
    <w:rsid w:val="00430203"/>
    <w:rsid w:val="00433929"/>
    <w:rsid w:val="00446915"/>
    <w:rsid w:val="00452860"/>
    <w:rsid w:val="00492479"/>
    <w:rsid w:val="004A7BB7"/>
    <w:rsid w:val="004D0200"/>
    <w:rsid w:val="004D24F6"/>
    <w:rsid w:val="004D6186"/>
    <w:rsid w:val="005148D1"/>
    <w:rsid w:val="0053581D"/>
    <w:rsid w:val="005648B2"/>
    <w:rsid w:val="00574AF7"/>
    <w:rsid w:val="00580D49"/>
    <w:rsid w:val="00582B1B"/>
    <w:rsid w:val="00594DE3"/>
    <w:rsid w:val="00596683"/>
    <w:rsid w:val="005B4101"/>
    <w:rsid w:val="005B759B"/>
    <w:rsid w:val="005C4B3A"/>
    <w:rsid w:val="005D1957"/>
    <w:rsid w:val="005E2DDE"/>
    <w:rsid w:val="005F1368"/>
    <w:rsid w:val="006124BD"/>
    <w:rsid w:val="0061779C"/>
    <w:rsid w:val="00625911"/>
    <w:rsid w:val="006263FE"/>
    <w:rsid w:val="00637496"/>
    <w:rsid w:val="00645629"/>
    <w:rsid w:val="00691823"/>
    <w:rsid w:val="006A2727"/>
    <w:rsid w:val="006A4ACA"/>
    <w:rsid w:val="007049C5"/>
    <w:rsid w:val="00727463"/>
    <w:rsid w:val="00733CF9"/>
    <w:rsid w:val="00737028"/>
    <w:rsid w:val="00747119"/>
    <w:rsid w:val="007531F4"/>
    <w:rsid w:val="0076768F"/>
    <w:rsid w:val="00773300"/>
    <w:rsid w:val="007A4EDB"/>
    <w:rsid w:val="007B5F3B"/>
    <w:rsid w:val="007B7A00"/>
    <w:rsid w:val="007C41DC"/>
    <w:rsid w:val="007D4389"/>
    <w:rsid w:val="007E7F5E"/>
    <w:rsid w:val="00800E0C"/>
    <w:rsid w:val="00810E22"/>
    <w:rsid w:val="008443F8"/>
    <w:rsid w:val="00853036"/>
    <w:rsid w:val="008538F7"/>
    <w:rsid w:val="00854365"/>
    <w:rsid w:val="008774FC"/>
    <w:rsid w:val="00885E5F"/>
    <w:rsid w:val="008B33B8"/>
    <w:rsid w:val="008C2672"/>
    <w:rsid w:val="008D28AA"/>
    <w:rsid w:val="008D5CEA"/>
    <w:rsid w:val="008E2C62"/>
    <w:rsid w:val="00915752"/>
    <w:rsid w:val="0092185B"/>
    <w:rsid w:val="00933BDC"/>
    <w:rsid w:val="00940BD9"/>
    <w:rsid w:val="00943ABB"/>
    <w:rsid w:val="00960022"/>
    <w:rsid w:val="00962006"/>
    <w:rsid w:val="00966850"/>
    <w:rsid w:val="00987023"/>
    <w:rsid w:val="00994CCA"/>
    <w:rsid w:val="009A147C"/>
    <w:rsid w:val="009A2676"/>
    <w:rsid w:val="009F0772"/>
    <w:rsid w:val="009F6638"/>
    <w:rsid w:val="00A000E1"/>
    <w:rsid w:val="00A015AF"/>
    <w:rsid w:val="00A25CBE"/>
    <w:rsid w:val="00A43100"/>
    <w:rsid w:val="00A82285"/>
    <w:rsid w:val="00AA415F"/>
    <w:rsid w:val="00AB4CD7"/>
    <w:rsid w:val="00AD1CC7"/>
    <w:rsid w:val="00AD328C"/>
    <w:rsid w:val="00AE7C60"/>
    <w:rsid w:val="00AF2B9C"/>
    <w:rsid w:val="00AF414B"/>
    <w:rsid w:val="00AF5947"/>
    <w:rsid w:val="00B17FF1"/>
    <w:rsid w:val="00B24BA3"/>
    <w:rsid w:val="00B32727"/>
    <w:rsid w:val="00B3352F"/>
    <w:rsid w:val="00B34CD9"/>
    <w:rsid w:val="00B36FFD"/>
    <w:rsid w:val="00B544A2"/>
    <w:rsid w:val="00B6313D"/>
    <w:rsid w:val="00B63894"/>
    <w:rsid w:val="00B83B95"/>
    <w:rsid w:val="00BE4537"/>
    <w:rsid w:val="00BF5E6C"/>
    <w:rsid w:val="00C15EF0"/>
    <w:rsid w:val="00C3601C"/>
    <w:rsid w:val="00C360CB"/>
    <w:rsid w:val="00C554E8"/>
    <w:rsid w:val="00C712E4"/>
    <w:rsid w:val="00C7159D"/>
    <w:rsid w:val="00C74C8E"/>
    <w:rsid w:val="00C87F8E"/>
    <w:rsid w:val="00C93596"/>
    <w:rsid w:val="00C96BDB"/>
    <w:rsid w:val="00CA7AB6"/>
    <w:rsid w:val="00CC39A0"/>
    <w:rsid w:val="00CD5A49"/>
    <w:rsid w:val="00CF41F7"/>
    <w:rsid w:val="00D00BDF"/>
    <w:rsid w:val="00D074C7"/>
    <w:rsid w:val="00D167AF"/>
    <w:rsid w:val="00D20656"/>
    <w:rsid w:val="00D33C94"/>
    <w:rsid w:val="00D53303"/>
    <w:rsid w:val="00D55F4C"/>
    <w:rsid w:val="00DA4449"/>
    <w:rsid w:val="00DB4148"/>
    <w:rsid w:val="00DB5AF6"/>
    <w:rsid w:val="00DC5003"/>
    <w:rsid w:val="00DD7C03"/>
    <w:rsid w:val="00DE7C03"/>
    <w:rsid w:val="00DF7662"/>
    <w:rsid w:val="00E03696"/>
    <w:rsid w:val="00E05A34"/>
    <w:rsid w:val="00E104A1"/>
    <w:rsid w:val="00E36D11"/>
    <w:rsid w:val="00E5632D"/>
    <w:rsid w:val="00E569E6"/>
    <w:rsid w:val="00E86ACB"/>
    <w:rsid w:val="00ED756D"/>
    <w:rsid w:val="00EE5F28"/>
    <w:rsid w:val="00F00CD9"/>
    <w:rsid w:val="00F251EA"/>
    <w:rsid w:val="00F31063"/>
    <w:rsid w:val="00F328E4"/>
    <w:rsid w:val="00F506D2"/>
    <w:rsid w:val="00F52BD5"/>
    <w:rsid w:val="00F6301F"/>
    <w:rsid w:val="00F83E5F"/>
    <w:rsid w:val="00F9557D"/>
    <w:rsid w:val="00FA3FB3"/>
    <w:rsid w:val="00FB0922"/>
    <w:rsid w:val="00FC0D4C"/>
    <w:rsid w:val="00FD7C58"/>
    <w:rsid w:val="00FE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99D7B"/>
  <w15:docId w15:val="{84E18B5E-15AE-43CE-86DD-219B3E34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F45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F45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4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3F45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3F451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E7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E7C03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F00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0CD9"/>
  </w:style>
  <w:style w:type="paragraph" w:styleId="Voettekst">
    <w:name w:val="footer"/>
    <w:basedOn w:val="Standaard"/>
    <w:link w:val="VoettekstChar"/>
    <w:uiPriority w:val="99"/>
    <w:unhideWhenUsed/>
    <w:rsid w:val="00F00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00CD9"/>
  </w:style>
  <w:style w:type="character" w:styleId="Intensievebenadrukking">
    <w:name w:val="Intense Emphasis"/>
    <w:basedOn w:val="Standaardalinea-lettertype"/>
    <w:uiPriority w:val="21"/>
    <w:qFormat/>
    <w:rsid w:val="009A147C"/>
    <w:rPr>
      <w:i/>
      <w:iCs/>
      <w:color w:val="4472C4" w:themeColor="accent1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1252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12529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1252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1252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125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7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92EE2AB1A07641A160B66F70375A92" ma:contentTypeVersion="12" ma:contentTypeDescription="Een nieuw document maken." ma:contentTypeScope="" ma:versionID="d90d668f26a48950a256943bc361c9d0">
  <xsd:schema xmlns:xsd="http://www.w3.org/2001/XMLSchema" xmlns:xs="http://www.w3.org/2001/XMLSchema" xmlns:p="http://schemas.microsoft.com/office/2006/metadata/properties" xmlns:ns1="http://schemas.microsoft.com/sharepoint/v3" xmlns:ns2="fee22167-c236-416d-8e7f-1f75d327fedd" xmlns:ns3="1cd6ebb7-799c-4025-aa72-03d65df50579" xmlns:ns4="ba69c5b4-b4a9-4049-8ecd-3868ecd3a286" targetNamespace="http://schemas.microsoft.com/office/2006/metadata/properties" ma:root="true" ma:fieldsID="5f23cca09bdbd89f5ca48925ce488b47" ns1:_="" ns2:_="" ns3:_="" ns4:_="">
    <xsd:import namespace="http://schemas.microsoft.com/sharepoint/v3"/>
    <xsd:import namespace="fee22167-c236-416d-8e7f-1f75d327fedd"/>
    <xsd:import namespace="1cd6ebb7-799c-4025-aa72-03d65df50579"/>
    <xsd:import namespace="ba69c5b4-b4a9-4049-8ecd-3868ecd3a28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3:MediaServiceOCR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22167-c236-416d-8e7f-1f75d327fed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6ebb7-799c-4025-aa72-03d65df505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9c5b4-b4a9-4049-8ecd-3868ecd3a2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CB40A-F393-45FC-BA9A-77C6E80B8F66}">
  <ds:schemaRefs>
    <ds:schemaRef ds:uri="http://purl.org/dc/elements/1.1/"/>
    <ds:schemaRef ds:uri="1cd6ebb7-799c-4025-aa72-03d65df50579"/>
    <ds:schemaRef ds:uri="fee22167-c236-416d-8e7f-1f75d327fedd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ba69c5b4-b4a9-4049-8ecd-3868ecd3a28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53BE124-A33D-4D23-96F5-1C9672E90C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D49415-A741-4E72-A887-DC209BA4D1F4}"/>
</file>

<file path=customXml/itemProps4.xml><?xml version="1.0" encoding="utf-8"?>
<ds:datastoreItem xmlns:ds="http://schemas.openxmlformats.org/officeDocument/2006/customXml" ds:itemID="{22A3B2F7-5340-424D-8C12-375C39EAFC21}"/>
</file>

<file path=customXml/itemProps5.xml><?xml version="1.0" encoding="utf-8"?>
<ds:datastoreItem xmlns:ds="http://schemas.openxmlformats.org/officeDocument/2006/customXml" ds:itemID="{CDFE32AC-093F-4F89-9593-D734831FD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790</Words>
  <Characters>4346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4</vt:i4>
      </vt:variant>
    </vt:vector>
  </HeadingPairs>
  <TitlesOfParts>
    <vt:vector size="5" baseType="lpstr">
      <vt:lpstr/>
      <vt:lpstr>    Bijlage 3A</vt:lpstr>
      <vt:lpstr>    Bijlage bij actielijn 17: Financiën.</vt:lpstr>
      <vt:lpstr>    Overzicht van de mogelijke extra inkomsten en uitgaven als gevolg van het nieuwe</vt:lpstr>
      <vt:lpstr>    Globale begroting van de (extra) gemeentelijke bijdragen vanaf 2019 als gevolg v</vt:lpstr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Ria van der Eerden</dc:creator>
  <cp:lastModifiedBy>Ria van der Eerden</cp:lastModifiedBy>
  <cp:revision>22</cp:revision>
  <cp:lastPrinted>2018-12-07T09:19:00Z</cp:lastPrinted>
  <dcterms:created xsi:type="dcterms:W3CDTF">2018-12-06T14:14:00Z</dcterms:created>
  <dcterms:modified xsi:type="dcterms:W3CDTF">2018-12-07T15:52:00Z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_dlc_DocIdItemGuid">
    <vt:lpwstr>7ed2423f-6f3d-41c4-9b31-54e41a111349</vt:lpwstr>
  </property>
  <property fmtid="{D5CDD505-2E9C-101B-9397-08002B2CF9AE}" pid="4" name="Order">
    <vt:r8>7122900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